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92F13" w14:textId="6D646C9C" w:rsidR="0064179E" w:rsidRDefault="0064179E" w:rsidP="00ED04E5">
      <w:pPr>
        <w:pStyle w:val="NormalWeb"/>
        <w:jc w:val="center"/>
        <w:rPr>
          <w:b/>
          <w:bCs/>
        </w:rPr>
      </w:pPr>
      <w:r w:rsidRPr="00091465">
        <w:rPr>
          <w:b/>
          <w:bCs/>
        </w:rPr>
        <w:t>Under Pressure, Under Obligation: Adolescents</w:t>
      </w:r>
      <w:r w:rsidR="00984867">
        <w:rPr>
          <w:b/>
          <w:bCs/>
        </w:rPr>
        <w:t>’</w:t>
      </w:r>
      <w:r w:rsidRPr="00091465">
        <w:rPr>
          <w:b/>
          <w:bCs/>
        </w:rPr>
        <w:t xml:space="preserve"> Attitudes Towards Family Obligation as a Moderator of Parental Pressure on Mental Health</w:t>
      </w:r>
    </w:p>
    <w:p w14:paraId="046CE4AF" w14:textId="61CEED81" w:rsidR="00ED04E5" w:rsidRPr="00091465" w:rsidRDefault="00ED04E5" w:rsidP="00ED04E5">
      <w:pPr>
        <w:pStyle w:val="NormalWeb"/>
        <w:rPr>
          <w:b/>
          <w:bCs/>
        </w:rPr>
      </w:pPr>
      <w:r>
        <w:rPr>
          <w:b/>
          <w:bCs/>
        </w:rPr>
        <w:t xml:space="preserve">Submitted by: </w:t>
      </w:r>
      <w:r w:rsidRPr="00B73759">
        <w:t xml:space="preserve">Dawnn Lim </w:t>
      </w:r>
      <w:proofErr w:type="spellStart"/>
      <w:r w:rsidRPr="00B73759">
        <w:t>Xingyi</w:t>
      </w:r>
      <w:proofErr w:type="spellEnd"/>
    </w:p>
    <w:p w14:paraId="0E68143B" w14:textId="3E6FBE68" w:rsidR="00B56F5D" w:rsidRDefault="00B56F5D" w:rsidP="0064179E">
      <w:pPr>
        <w:pStyle w:val="NormalWeb"/>
        <w:ind w:firstLine="720"/>
      </w:pPr>
      <w:r>
        <w:t>Academic achievement is a deeply embedded value in Singapore</w:t>
      </w:r>
      <w:r w:rsidR="00D6270C">
        <w:t>’s</w:t>
      </w:r>
      <w:r>
        <w:t xml:space="preserve"> society, often reinforced through family expectations and pressure. </w:t>
      </w:r>
      <w:r w:rsidR="00B73759">
        <w:t>S</w:t>
      </w:r>
      <w:r w:rsidR="00B73759" w:rsidRPr="00AD1C23">
        <w:t>ome of this pressure originates within the family, as parents in Singapore tend to prioritise education and hold strong aspirations for their children's academic achievements from an early age</w:t>
      </w:r>
      <w:r w:rsidR="00B73759">
        <w:t xml:space="preserve"> </w:t>
      </w:r>
      <w:r w:rsidR="00B73759" w:rsidRPr="00AD1C23">
        <w:t>(Karuppiah &amp; Poon, 2022</w:t>
      </w:r>
      <w:r w:rsidR="00B73759">
        <w:t xml:space="preserve">). </w:t>
      </w:r>
      <w:r>
        <w:t xml:space="preserve">While pressure </w:t>
      </w:r>
      <w:r w:rsidR="00D6270C">
        <w:t xml:space="preserve">from the family </w:t>
      </w:r>
      <w:r>
        <w:t xml:space="preserve">can serve as a motivator, it has also been associated with increased anxiety, depression, and reduced emotional well-being (Quach et al., 2013; </w:t>
      </w:r>
      <w:proofErr w:type="spellStart"/>
      <w:r>
        <w:t>Slimmen</w:t>
      </w:r>
      <w:proofErr w:type="spellEnd"/>
      <w:r>
        <w:t xml:space="preserve"> et al., 2022). </w:t>
      </w:r>
    </w:p>
    <w:p w14:paraId="5FE87F49" w14:textId="0DA33232" w:rsidR="00CC431F" w:rsidRDefault="00CC6143" w:rsidP="00CC431F">
      <w:pPr>
        <w:pStyle w:val="NormalWeb"/>
        <w:ind w:firstLine="720"/>
      </w:pPr>
      <w:r w:rsidRPr="00CC6143">
        <w:t>Prior research has shown that family obligation can have both protective and detrimental effects on adolescent</w:t>
      </w:r>
      <w:r>
        <w:t xml:space="preserve">s’ mental health and wellbeing </w:t>
      </w:r>
      <w:r w:rsidRPr="00CC6143">
        <w:t>(</w:t>
      </w:r>
      <w:proofErr w:type="spellStart"/>
      <w:r w:rsidRPr="00CC6143">
        <w:t>Fuligni</w:t>
      </w:r>
      <w:proofErr w:type="spellEnd"/>
      <w:r w:rsidRPr="00CC6143">
        <w:t xml:space="preserve"> &amp; Pedersen, 2002; </w:t>
      </w:r>
      <w:r>
        <w:t>Juang &amp; Cookston, 2009</w:t>
      </w:r>
      <w:r w:rsidRPr="00CC6143">
        <w:t xml:space="preserve">; Milan &amp; Wortel, 2014). </w:t>
      </w:r>
      <w:r w:rsidR="00CC431F">
        <w:t>T</w:t>
      </w:r>
      <w:r w:rsidR="00CC431F" w:rsidRPr="00CC431F">
        <w:t>hese contrasting outcomes suggest the presence of moderating factors</w:t>
      </w:r>
      <w:r w:rsidR="00CC431F">
        <w:t xml:space="preserve"> or contextual nuances</w:t>
      </w:r>
      <w:r w:rsidR="00CC431F" w:rsidRPr="00CC431F">
        <w:t>, highlighting the need for further research. To address this gap</w:t>
      </w:r>
      <w:r w:rsidR="00CC431F">
        <w:t xml:space="preserve"> and </w:t>
      </w:r>
      <w:r w:rsidR="00CC431F" w:rsidRPr="00CC431F">
        <w:t>the present study examines whether adolescents’ attitudes toward family obligation moderate the relationship between parental pressure and symptoms of anxiety and depression</w:t>
      </w:r>
      <w:r w:rsidR="00CC431F">
        <w:t xml:space="preserve"> in Singapore.</w:t>
      </w:r>
    </w:p>
    <w:p w14:paraId="49DCD787" w14:textId="5284B707" w:rsidR="00B56F5D" w:rsidRDefault="00B56F5D" w:rsidP="00131865">
      <w:pPr>
        <w:pStyle w:val="NormalWeb"/>
        <w:ind w:firstLine="720"/>
      </w:pPr>
      <w:r w:rsidRPr="007C004D">
        <w:t xml:space="preserve">Drawing from </w:t>
      </w:r>
      <w:r w:rsidRPr="00B73759">
        <w:rPr>
          <w:rStyle w:val="Strong"/>
          <w:rFonts w:eastAsiaTheme="majorEastAsia"/>
          <w:b w:val="0"/>
          <w:bCs w:val="0"/>
        </w:rPr>
        <w:t>self-determination theory</w:t>
      </w:r>
      <w:r w:rsidRPr="007C004D">
        <w:t xml:space="preserve"> (Ryan &amp; Deci, 2000), </w:t>
      </w:r>
      <w:r w:rsidR="00CC6143" w:rsidRPr="00CC6143">
        <w:t xml:space="preserve">we hypothesise that adolescents </w:t>
      </w:r>
      <w:r w:rsidR="00CC431F">
        <w:t>with stronger attitudes towards family obligations (vs. weaker attitudes) would</w:t>
      </w:r>
      <w:r w:rsidR="00CC6143" w:rsidRPr="00CC6143">
        <w:t xml:space="preserve"> be more vulnerable to internalising </w:t>
      </w:r>
      <w:r w:rsidR="00CC6143">
        <w:t xml:space="preserve">symptoms after experiencing </w:t>
      </w:r>
      <w:r w:rsidR="00CC6143" w:rsidRPr="00CC6143">
        <w:t>parental pressure</w:t>
      </w:r>
      <w:r w:rsidR="00CC431F">
        <w:t xml:space="preserve">, </w:t>
      </w:r>
      <w:r w:rsidR="00CC6143" w:rsidRPr="00CC6143">
        <w:t xml:space="preserve">due to a </w:t>
      </w:r>
      <w:r w:rsidR="00343EDF">
        <w:t xml:space="preserve">greater </w:t>
      </w:r>
      <w:r w:rsidR="00CC6143" w:rsidRPr="00CC6143">
        <w:t xml:space="preserve">perceived lack of autonomy. </w:t>
      </w:r>
    </w:p>
    <w:p w14:paraId="7387C0CC" w14:textId="29430F42" w:rsidR="007C004D" w:rsidRDefault="00343EDF" w:rsidP="007C004D">
      <w:pPr>
        <w:pStyle w:val="NormalWeb"/>
        <w:ind w:firstLine="720"/>
      </w:pPr>
      <w:r>
        <w:t>A</w:t>
      </w:r>
      <w:r w:rsidR="007C004D" w:rsidRPr="007C004D">
        <w:t xml:space="preserve"> baseline survey</w:t>
      </w:r>
      <w:r w:rsidR="00131865">
        <w:t xml:space="preserve">, </w:t>
      </w:r>
      <w:r w:rsidR="007C004D" w:rsidRPr="007C004D">
        <w:t>followed by a 14-day longitudinal daily diary survey was conducted among undergraduates in Singapore, aged 18–25 years. The surveys included items measuring perceived parental pressure</w:t>
      </w:r>
      <w:r w:rsidR="007C004D">
        <w:t xml:space="preserve"> to be successful</w:t>
      </w:r>
      <w:r w:rsidR="007C004D" w:rsidRPr="007C004D">
        <w:t xml:space="preserve">, </w:t>
      </w:r>
      <w:r w:rsidR="00131865">
        <w:t xml:space="preserve">adolescents’ </w:t>
      </w:r>
      <w:r w:rsidR="007C004D" w:rsidRPr="007C004D">
        <w:t>attitudes toward family obligation</w:t>
      </w:r>
      <w:r w:rsidR="007C004D">
        <w:t xml:space="preserve"> (AATFOS)</w:t>
      </w:r>
      <w:r w:rsidR="007C004D" w:rsidRPr="007C004D">
        <w:t>, anxiety</w:t>
      </w:r>
      <w:r w:rsidR="007C004D">
        <w:t xml:space="preserve"> (GAD-2)</w:t>
      </w:r>
      <w:r w:rsidR="007C004D" w:rsidRPr="007C004D">
        <w:t>, and depression</w:t>
      </w:r>
      <w:r w:rsidR="007C004D">
        <w:t xml:space="preserve"> (PHQ-2)</w:t>
      </w:r>
      <w:r w:rsidR="007C004D" w:rsidRPr="007C004D">
        <w:t xml:space="preserve">. After data cleaning, a total of 134 unique respondents were included in the </w:t>
      </w:r>
      <w:r w:rsidR="00131865">
        <w:t xml:space="preserve">moderation </w:t>
      </w:r>
      <w:r w:rsidR="007C004D" w:rsidRPr="007C004D">
        <w:t xml:space="preserve">analysis. </w:t>
      </w:r>
    </w:p>
    <w:p w14:paraId="3B2C8DBF" w14:textId="3AAC2F08" w:rsidR="00131865" w:rsidRDefault="005925AE" w:rsidP="00131865">
      <w:pPr>
        <w:pStyle w:val="NormalWeb"/>
        <w:ind w:firstLine="720"/>
        <w:rPr>
          <w:color w:val="000000"/>
        </w:rPr>
      </w:pPr>
      <w:r w:rsidRPr="00D6270C">
        <w:rPr>
          <w:color w:val="000000"/>
        </w:rPr>
        <w:t xml:space="preserve">The results </w:t>
      </w:r>
      <w:r w:rsidR="00343EDF">
        <w:rPr>
          <w:color w:val="000000"/>
        </w:rPr>
        <w:t>suggest that parental</w:t>
      </w:r>
      <w:r w:rsidRPr="00D6270C">
        <w:rPr>
          <w:color w:val="000000"/>
        </w:rPr>
        <w:t xml:space="preserve"> pressure significantly predicted higher levels of depression (</w:t>
      </w:r>
      <w:r w:rsidR="007C004D">
        <w:rPr>
          <w:rStyle w:val="katex-mathml"/>
          <w:rFonts w:eastAsiaTheme="majorEastAsia"/>
          <w:i/>
          <w:iCs/>
          <w:color w:val="000000"/>
        </w:rPr>
        <w:t xml:space="preserve">b </w:t>
      </w:r>
      <w:r w:rsidR="007C004D">
        <w:rPr>
          <w:rStyle w:val="katex-mathml"/>
          <w:rFonts w:eastAsiaTheme="majorEastAsia"/>
          <w:color w:val="000000"/>
        </w:rPr>
        <w:t xml:space="preserve">= </w:t>
      </w:r>
      <w:r w:rsidRPr="00D6270C">
        <w:rPr>
          <w:rStyle w:val="katex-mathml"/>
          <w:rFonts w:eastAsiaTheme="majorEastAsia"/>
          <w:color w:val="000000"/>
        </w:rPr>
        <w:t>.591</w:t>
      </w:r>
      <w:r w:rsidRPr="00D6270C">
        <w:rPr>
          <w:color w:val="000000"/>
        </w:rPr>
        <w:t xml:space="preserve">, </w:t>
      </w:r>
      <w:r w:rsidRPr="007C004D">
        <w:rPr>
          <w:i/>
          <w:iCs/>
          <w:color w:val="000000"/>
        </w:rPr>
        <w:t>SE</w:t>
      </w:r>
      <w:r w:rsidRPr="00D6270C">
        <w:rPr>
          <w:color w:val="000000"/>
        </w:rPr>
        <w:t xml:space="preserve"> = .039, </w:t>
      </w:r>
      <w:r w:rsidR="007C004D">
        <w:rPr>
          <w:i/>
          <w:iCs/>
          <w:color w:val="000000"/>
        </w:rPr>
        <w:t>p</w:t>
      </w:r>
      <w:r w:rsidRPr="00D6270C">
        <w:rPr>
          <w:color w:val="000000"/>
        </w:rPr>
        <w:t xml:space="preserve"> &lt; .001), and anxiety (</w:t>
      </w:r>
      <w:r w:rsidR="007C004D">
        <w:rPr>
          <w:rStyle w:val="katex-mathml"/>
          <w:rFonts w:eastAsiaTheme="majorEastAsia"/>
          <w:i/>
          <w:iCs/>
          <w:color w:val="000000"/>
        </w:rPr>
        <w:t xml:space="preserve">b </w:t>
      </w:r>
      <w:r w:rsidR="007C004D">
        <w:rPr>
          <w:rStyle w:val="katex-mathml"/>
          <w:rFonts w:eastAsiaTheme="majorEastAsia"/>
          <w:color w:val="000000"/>
        </w:rPr>
        <w:t xml:space="preserve">= </w:t>
      </w:r>
      <w:r w:rsidRPr="00D6270C">
        <w:rPr>
          <w:rStyle w:val="katex-mathml"/>
          <w:rFonts w:eastAsiaTheme="majorEastAsia"/>
          <w:color w:val="000000"/>
        </w:rPr>
        <w:t>.61</w:t>
      </w:r>
      <w:r w:rsidR="00D6270C">
        <w:rPr>
          <w:rStyle w:val="katex-mathml"/>
          <w:rFonts w:eastAsiaTheme="majorEastAsia"/>
          <w:color w:val="000000"/>
        </w:rPr>
        <w:t>1</w:t>
      </w:r>
      <w:r w:rsidRPr="00D6270C">
        <w:rPr>
          <w:color w:val="000000"/>
        </w:rPr>
        <w:t xml:space="preserve">, </w:t>
      </w:r>
      <w:r w:rsidR="007C004D" w:rsidRPr="007C004D">
        <w:rPr>
          <w:i/>
          <w:iCs/>
          <w:color w:val="000000"/>
        </w:rPr>
        <w:t>SE</w:t>
      </w:r>
      <w:r w:rsidR="007C004D" w:rsidRPr="00D6270C">
        <w:rPr>
          <w:color w:val="000000"/>
        </w:rPr>
        <w:t xml:space="preserve"> =</w:t>
      </w:r>
      <w:r w:rsidRPr="00D6270C">
        <w:rPr>
          <w:color w:val="000000"/>
        </w:rPr>
        <w:t xml:space="preserve"> .042, p &lt; .001) while adolescents' attitudes toward family obligation negatively predicted depression (</w:t>
      </w:r>
      <w:r w:rsidR="007C004D">
        <w:rPr>
          <w:rStyle w:val="katex-mathml"/>
          <w:rFonts w:eastAsiaTheme="majorEastAsia"/>
          <w:i/>
          <w:iCs/>
          <w:color w:val="000000"/>
        </w:rPr>
        <w:t xml:space="preserve">b </w:t>
      </w:r>
      <w:r w:rsidR="007C004D">
        <w:rPr>
          <w:rStyle w:val="katex-mathml"/>
          <w:rFonts w:eastAsiaTheme="majorEastAsia"/>
          <w:color w:val="000000"/>
        </w:rPr>
        <w:t>=</w:t>
      </w:r>
      <w:r w:rsidRPr="00D6270C">
        <w:rPr>
          <w:rStyle w:val="katex-mathml"/>
          <w:rFonts w:eastAsiaTheme="majorEastAsia"/>
          <w:color w:val="000000"/>
        </w:rPr>
        <w:t>−.400</w:t>
      </w:r>
      <w:r w:rsidRPr="00D6270C">
        <w:rPr>
          <w:color w:val="000000"/>
        </w:rPr>
        <w:t xml:space="preserve">, </w:t>
      </w:r>
      <w:r w:rsidRPr="007C004D">
        <w:rPr>
          <w:i/>
          <w:iCs/>
          <w:color w:val="000000"/>
        </w:rPr>
        <w:t xml:space="preserve">SE </w:t>
      </w:r>
      <w:r w:rsidRPr="00D6270C">
        <w:rPr>
          <w:color w:val="000000"/>
        </w:rPr>
        <w:t>= .07</w:t>
      </w:r>
      <w:r w:rsidR="007C004D">
        <w:rPr>
          <w:color w:val="000000"/>
        </w:rPr>
        <w:t>0</w:t>
      </w:r>
      <w:r w:rsidRPr="00D6270C">
        <w:rPr>
          <w:color w:val="000000"/>
        </w:rPr>
        <w:t>,</w:t>
      </w:r>
      <w:r w:rsidRPr="007C004D">
        <w:rPr>
          <w:i/>
          <w:iCs/>
          <w:color w:val="000000"/>
        </w:rPr>
        <w:t xml:space="preserve"> p</w:t>
      </w:r>
      <w:r w:rsidRPr="00D6270C">
        <w:rPr>
          <w:color w:val="000000"/>
        </w:rPr>
        <w:t xml:space="preserve"> &lt; .001) as well as anxiety (</w:t>
      </w:r>
      <w:r w:rsidR="007C004D">
        <w:rPr>
          <w:rStyle w:val="katex-mathml"/>
          <w:rFonts w:eastAsiaTheme="majorEastAsia"/>
          <w:i/>
          <w:iCs/>
          <w:color w:val="000000"/>
        </w:rPr>
        <w:t xml:space="preserve">b </w:t>
      </w:r>
      <w:r w:rsidR="007C004D">
        <w:rPr>
          <w:rStyle w:val="katex-mathml"/>
          <w:rFonts w:eastAsiaTheme="majorEastAsia"/>
          <w:color w:val="000000"/>
        </w:rPr>
        <w:t>=</w:t>
      </w:r>
      <w:r w:rsidRPr="00D6270C">
        <w:rPr>
          <w:rStyle w:val="katex-mathml"/>
          <w:rFonts w:eastAsiaTheme="majorEastAsia"/>
          <w:color w:val="000000"/>
        </w:rPr>
        <w:t>−0.252</w:t>
      </w:r>
      <w:r w:rsidRPr="00D6270C">
        <w:rPr>
          <w:color w:val="000000"/>
        </w:rPr>
        <w:t xml:space="preserve">, </w:t>
      </w:r>
      <w:r w:rsidRPr="007C004D">
        <w:rPr>
          <w:i/>
          <w:iCs/>
          <w:color w:val="000000"/>
        </w:rPr>
        <w:t>SE =</w:t>
      </w:r>
      <w:r w:rsidRPr="00D6270C">
        <w:rPr>
          <w:color w:val="000000"/>
        </w:rPr>
        <w:t xml:space="preserve"> .07</w:t>
      </w:r>
      <w:r w:rsidR="007C004D">
        <w:rPr>
          <w:color w:val="000000"/>
        </w:rPr>
        <w:t>7</w:t>
      </w:r>
      <w:r w:rsidRPr="00D6270C">
        <w:rPr>
          <w:color w:val="000000"/>
        </w:rPr>
        <w:t xml:space="preserve">, p &lt; .001). Furthermore, the interaction between parental pressure and </w:t>
      </w:r>
      <w:r w:rsidR="00343EDF">
        <w:t>AATFOS</w:t>
      </w:r>
      <w:r w:rsidR="00343EDF" w:rsidRPr="00D6270C">
        <w:rPr>
          <w:color w:val="000000"/>
        </w:rPr>
        <w:t xml:space="preserve"> </w:t>
      </w:r>
      <w:r w:rsidR="00343EDF">
        <w:rPr>
          <w:color w:val="000000"/>
        </w:rPr>
        <w:t xml:space="preserve">on depression </w:t>
      </w:r>
      <w:r w:rsidRPr="00D6270C">
        <w:rPr>
          <w:color w:val="000000"/>
        </w:rPr>
        <w:t>was significant (</w:t>
      </w:r>
      <w:r w:rsidR="007C004D">
        <w:rPr>
          <w:rStyle w:val="katex-mathml"/>
          <w:rFonts w:eastAsiaTheme="majorEastAsia"/>
          <w:i/>
          <w:iCs/>
          <w:color w:val="000000"/>
        </w:rPr>
        <w:t xml:space="preserve">b </w:t>
      </w:r>
      <w:r w:rsidR="007C004D">
        <w:rPr>
          <w:rStyle w:val="katex-mathml"/>
          <w:rFonts w:eastAsiaTheme="majorEastAsia"/>
          <w:color w:val="000000"/>
        </w:rPr>
        <w:t>=</w:t>
      </w:r>
      <w:r w:rsidRPr="00D6270C">
        <w:rPr>
          <w:rStyle w:val="katex-mathml"/>
          <w:rFonts w:eastAsiaTheme="majorEastAsia"/>
          <w:color w:val="000000"/>
        </w:rPr>
        <w:t>.264</w:t>
      </w:r>
      <w:r w:rsidRPr="00D6270C">
        <w:rPr>
          <w:color w:val="000000"/>
        </w:rPr>
        <w:t xml:space="preserve">, </w:t>
      </w:r>
      <w:r w:rsidRPr="007C004D">
        <w:rPr>
          <w:i/>
          <w:iCs/>
          <w:color w:val="000000"/>
        </w:rPr>
        <w:t>SE</w:t>
      </w:r>
      <w:r w:rsidRPr="00D6270C">
        <w:rPr>
          <w:color w:val="000000"/>
        </w:rPr>
        <w:t xml:space="preserve"> = .07</w:t>
      </w:r>
      <w:r w:rsidR="007C004D">
        <w:rPr>
          <w:color w:val="000000"/>
        </w:rPr>
        <w:t>7</w:t>
      </w:r>
      <w:r w:rsidRPr="00D6270C">
        <w:rPr>
          <w:color w:val="000000"/>
        </w:rPr>
        <w:t>, p &lt; .001)</w:t>
      </w:r>
      <w:r w:rsidR="00537900">
        <w:rPr>
          <w:color w:val="000000"/>
        </w:rPr>
        <w:t xml:space="preserve"> (Figure 1)</w:t>
      </w:r>
      <w:r w:rsidRPr="00D6270C">
        <w:rPr>
          <w:color w:val="000000"/>
        </w:rPr>
        <w:t>, indicating that the relationship between parental pressure and depression is moderated by adolescents' attitudes toward family obligation</w:t>
      </w:r>
      <w:r w:rsidR="00343EDF">
        <w:rPr>
          <w:color w:val="000000"/>
        </w:rPr>
        <w:t xml:space="preserve">, where individuals who scored higher on the </w:t>
      </w:r>
      <w:r w:rsidR="00343EDF" w:rsidRPr="00D6270C">
        <w:rPr>
          <w:color w:val="000000"/>
        </w:rPr>
        <w:t>AATFOS</w:t>
      </w:r>
      <w:r w:rsidR="00343EDF">
        <w:rPr>
          <w:color w:val="000000"/>
        </w:rPr>
        <w:t xml:space="preserve"> had a stronger association between depression and parental pressure, as compared to those who scored lower on the AATFOS</w:t>
      </w:r>
      <w:r w:rsidRPr="00D6270C">
        <w:rPr>
          <w:color w:val="000000"/>
        </w:rPr>
        <w:t xml:space="preserve">. In contrast, the interaction between parental pressure and AATFOS was not significant </w:t>
      </w:r>
      <w:r w:rsidR="00343EDF">
        <w:rPr>
          <w:color w:val="000000"/>
        </w:rPr>
        <w:t xml:space="preserve">for anxiety </w:t>
      </w:r>
      <w:r w:rsidRPr="00D6270C">
        <w:rPr>
          <w:color w:val="000000"/>
        </w:rPr>
        <w:t>(</w:t>
      </w:r>
      <w:r w:rsidRPr="007C004D">
        <w:rPr>
          <w:rStyle w:val="katex-mathml"/>
          <w:rFonts w:eastAsiaTheme="majorEastAsia"/>
          <w:i/>
          <w:iCs/>
          <w:color w:val="000000"/>
        </w:rPr>
        <w:t>b</w:t>
      </w:r>
      <w:r w:rsidRPr="00D6270C">
        <w:rPr>
          <w:rStyle w:val="katex-mathml"/>
          <w:rFonts w:eastAsiaTheme="majorEastAsia"/>
          <w:color w:val="000000"/>
        </w:rPr>
        <w:t>=.01</w:t>
      </w:r>
      <w:r w:rsidR="007C004D">
        <w:rPr>
          <w:rStyle w:val="katex-mathml"/>
          <w:rFonts w:eastAsiaTheme="majorEastAsia"/>
          <w:color w:val="000000"/>
        </w:rPr>
        <w:t>4</w:t>
      </w:r>
      <w:r w:rsidRPr="00D6270C">
        <w:rPr>
          <w:color w:val="000000"/>
        </w:rPr>
        <w:t xml:space="preserve">, </w:t>
      </w:r>
      <w:r w:rsidRPr="007C004D">
        <w:rPr>
          <w:i/>
          <w:iCs/>
          <w:color w:val="000000"/>
        </w:rPr>
        <w:t>SE</w:t>
      </w:r>
      <w:r w:rsidRPr="00D6270C">
        <w:rPr>
          <w:color w:val="000000"/>
        </w:rPr>
        <w:t xml:space="preserve"> = .083</w:t>
      </w:r>
      <w:r w:rsidR="00D6270C">
        <w:rPr>
          <w:rStyle w:val="mord"/>
          <w:rFonts w:eastAsiaTheme="majorEastAsia"/>
          <w:color w:val="000000"/>
        </w:rPr>
        <w:t>,</w:t>
      </w:r>
      <w:r w:rsidRPr="00D6270C">
        <w:rPr>
          <w:color w:val="000000"/>
        </w:rPr>
        <w:t xml:space="preserve"> </w:t>
      </w:r>
      <w:r w:rsidRPr="007C004D">
        <w:rPr>
          <w:i/>
          <w:iCs/>
          <w:color w:val="000000"/>
        </w:rPr>
        <w:t xml:space="preserve">p </w:t>
      </w:r>
      <w:r w:rsidRPr="00D6270C">
        <w:rPr>
          <w:color w:val="000000"/>
        </w:rPr>
        <w:t>= .869), suggesting that the relationship between parental pressure and anxiety is not moderated by adolescents' attitudes toward family obligation</w:t>
      </w:r>
      <w:r w:rsidR="00131865" w:rsidRPr="00131865">
        <w:rPr>
          <w:color w:val="000000"/>
        </w:rPr>
        <w:t xml:space="preserve">. </w:t>
      </w:r>
    </w:p>
    <w:p w14:paraId="6B0C0001" w14:textId="0BB9FB29" w:rsidR="00B73759" w:rsidRPr="00343EDF" w:rsidRDefault="00131865" w:rsidP="00343EDF">
      <w:pPr>
        <w:pStyle w:val="NormalWeb"/>
        <w:ind w:firstLine="720"/>
        <w:rPr>
          <w:rStyle w:val="Strong"/>
          <w:b w:val="0"/>
          <w:bCs w:val="0"/>
          <w:color w:val="000000"/>
        </w:rPr>
      </w:pPr>
      <w:r w:rsidRPr="00131865">
        <w:rPr>
          <w:color w:val="000000"/>
        </w:rPr>
        <w:t xml:space="preserve">These findings contribute to a more nuanced understanding of how </w:t>
      </w:r>
      <w:r>
        <w:rPr>
          <w:color w:val="000000"/>
        </w:rPr>
        <w:t>attitudes towards the family</w:t>
      </w:r>
      <w:r w:rsidRPr="00131865">
        <w:rPr>
          <w:color w:val="000000"/>
        </w:rPr>
        <w:t xml:space="preserve"> </w:t>
      </w:r>
      <w:r>
        <w:rPr>
          <w:color w:val="000000"/>
        </w:rPr>
        <w:t>can</w:t>
      </w:r>
      <w:r w:rsidR="00343EDF">
        <w:rPr>
          <w:color w:val="000000"/>
        </w:rPr>
        <w:t xml:space="preserve"> interact with parental pressure to</w:t>
      </w:r>
      <w:r>
        <w:rPr>
          <w:color w:val="000000"/>
        </w:rPr>
        <w:t xml:space="preserve"> impact</w:t>
      </w:r>
      <w:r w:rsidRPr="00131865">
        <w:rPr>
          <w:color w:val="000000"/>
        </w:rPr>
        <w:t xml:space="preserve"> </w:t>
      </w:r>
      <w:r w:rsidR="00343EDF">
        <w:rPr>
          <w:color w:val="000000"/>
        </w:rPr>
        <w:t>an adolescent’s depression</w:t>
      </w:r>
      <w:r w:rsidRPr="00131865">
        <w:rPr>
          <w:color w:val="000000"/>
        </w:rPr>
        <w:t xml:space="preserve">. While family obligation may serve as a protective factor in </w:t>
      </w:r>
      <w:r>
        <w:rPr>
          <w:color w:val="000000"/>
        </w:rPr>
        <w:t>low parental pressure</w:t>
      </w:r>
      <w:r w:rsidRPr="00131865">
        <w:rPr>
          <w:color w:val="000000"/>
        </w:rPr>
        <w:t xml:space="preserve"> environments, it may amplify </w:t>
      </w:r>
      <w:r w:rsidR="00CC431F">
        <w:rPr>
          <w:color w:val="000000"/>
        </w:rPr>
        <w:t>depressive symptoms</w:t>
      </w:r>
      <w:r w:rsidRPr="00131865">
        <w:rPr>
          <w:color w:val="000000"/>
        </w:rPr>
        <w:t xml:space="preserve"> in the presence of high parental pressure</w:t>
      </w:r>
      <w:r w:rsidR="00343EDF">
        <w:rPr>
          <w:rStyle w:val="Strong"/>
          <w:rFonts w:eastAsiaTheme="majorEastAsia"/>
          <w:b w:val="0"/>
          <w:bCs w:val="0"/>
          <w:color w:val="000000"/>
        </w:rPr>
        <w:t>.</w:t>
      </w:r>
    </w:p>
    <w:p w14:paraId="70904E86" w14:textId="46691B54" w:rsidR="00ED04E5" w:rsidRDefault="00F4659B" w:rsidP="00B73759">
      <w:pPr>
        <w:pStyle w:val="NormalWeb"/>
        <w:spacing w:after="0" w:afterAutospacing="0"/>
        <w:rPr>
          <w:i/>
          <w:iCs/>
        </w:rPr>
      </w:pPr>
      <w:r>
        <w:rPr>
          <w:rStyle w:val="Strong"/>
          <w:rFonts w:eastAsiaTheme="majorEastAsia"/>
        </w:rPr>
        <w:lastRenderedPageBreak/>
        <w:t>Figure</w:t>
      </w:r>
      <w:r w:rsidR="00CD6E24">
        <w:rPr>
          <w:rStyle w:val="Strong"/>
          <w:rFonts w:eastAsiaTheme="majorEastAsia"/>
        </w:rPr>
        <w:t xml:space="preserve"> 1</w:t>
      </w:r>
      <w:r w:rsidR="00CD6E24">
        <w:br/>
      </w:r>
      <w:r w:rsidR="00D6270C" w:rsidRPr="00816C51">
        <w:rPr>
          <w:i/>
          <w:iCs/>
        </w:rPr>
        <w:t xml:space="preserve">Simple Slopes between </w:t>
      </w:r>
      <w:r w:rsidR="00D6270C">
        <w:rPr>
          <w:i/>
          <w:iCs/>
        </w:rPr>
        <w:t>Parental Pressure and Depression (PHQ-2)</w:t>
      </w:r>
      <w:r w:rsidR="00D6270C" w:rsidRPr="00816C51">
        <w:rPr>
          <w:i/>
          <w:iCs/>
        </w:rPr>
        <w:t xml:space="preserve"> at different levels of </w:t>
      </w:r>
      <w:r w:rsidR="00D6270C">
        <w:rPr>
          <w:i/>
          <w:iCs/>
        </w:rPr>
        <w:t>AATFOS</w:t>
      </w:r>
    </w:p>
    <w:p w14:paraId="3E5F40EE" w14:textId="77777777" w:rsidR="00B73759" w:rsidRPr="00ED04E5" w:rsidRDefault="00B73759" w:rsidP="00B73759">
      <w:pPr>
        <w:pStyle w:val="NormalWeb"/>
        <w:spacing w:after="0" w:afterAutospacing="0"/>
        <w:rPr>
          <w:rFonts w:eastAsiaTheme="majorEastAsia"/>
          <w:b/>
          <w:bCs/>
        </w:rPr>
      </w:pPr>
    </w:p>
    <w:p w14:paraId="79B28D01" w14:textId="1FD2DD91" w:rsidR="00ED04E5" w:rsidRPr="00ED04E5" w:rsidRDefault="00ED04E5" w:rsidP="00ED04E5">
      <w:pPr>
        <w:spacing w:line="240" w:lineRule="auto"/>
        <w:rPr>
          <w:rFonts w:ascii="Segoe UI" w:eastAsia="Times New Roman" w:hAnsi="Segoe UI" w:cs="Segoe UI"/>
          <w:color w:val="333333"/>
          <w:kern w:val="0"/>
          <w:sz w:val="18"/>
          <w:szCs w:val="18"/>
          <w14:ligatures w14:val="none"/>
        </w:rPr>
      </w:pPr>
      <w:r w:rsidRPr="00ED04E5">
        <w:rPr>
          <w:rFonts w:ascii="Segoe UI" w:eastAsia="Times New Roman" w:hAnsi="Segoe UI" w:cs="Segoe UI"/>
          <w:color w:val="333333"/>
          <w:kern w:val="0"/>
          <w:sz w:val="18"/>
          <w:szCs w:val="18"/>
          <w14:ligatures w14:val="none"/>
        </w:rPr>
        <w:fldChar w:fldCharType="begin"/>
      </w:r>
      <w:r w:rsidRPr="00ED04E5">
        <w:rPr>
          <w:rFonts w:ascii="Segoe UI" w:eastAsia="Times New Roman" w:hAnsi="Segoe UI" w:cs="Segoe UI"/>
          <w:color w:val="333333"/>
          <w:kern w:val="0"/>
          <w:sz w:val="18"/>
          <w:szCs w:val="18"/>
          <w14:ligatures w14:val="none"/>
        </w:rPr>
        <w:instrText xml:space="preserve"> INCLUDEPICTURE "http://127.0.0.1:59730/ba91b199-7cac-433e-ad5e-cab832a8b09f/2/res/02%20mod/resources/8c013004b7d76cb4.png" \* MERGEFORMATINET </w:instrText>
      </w:r>
      <w:r w:rsidRPr="00ED04E5">
        <w:rPr>
          <w:rFonts w:ascii="Segoe UI" w:eastAsia="Times New Roman" w:hAnsi="Segoe UI" w:cs="Segoe UI"/>
          <w:color w:val="333333"/>
          <w:kern w:val="0"/>
          <w:sz w:val="18"/>
          <w:szCs w:val="18"/>
          <w14:ligatures w14:val="none"/>
        </w:rPr>
        <w:fldChar w:fldCharType="separate"/>
      </w:r>
      <w:r w:rsidRPr="00ED04E5">
        <w:rPr>
          <w:rFonts w:ascii="Segoe UI" w:eastAsia="Times New Roman" w:hAnsi="Segoe UI" w:cs="Segoe UI"/>
          <w:noProof/>
          <w:color w:val="333333"/>
          <w:kern w:val="0"/>
          <w:sz w:val="18"/>
          <w:szCs w:val="18"/>
          <w14:ligatures w14:val="none"/>
        </w:rPr>
        <w:drawing>
          <wp:inline distT="0" distB="0" distL="0" distR="0" wp14:anchorId="08538599" wp14:editId="3671D81E">
            <wp:extent cx="4151085" cy="3018971"/>
            <wp:effectExtent l="0" t="0" r="0" b="0"/>
            <wp:docPr id="1765438814" name="Picture 2" descr="A graph of pressure and pressu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5438814" name="Picture 2" descr="A graph of pressure and pressu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9820" cy="3025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04E5">
        <w:rPr>
          <w:rFonts w:ascii="Segoe UI" w:eastAsia="Times New Roman" w:hAnsi="Segoe UI" w:cs="Segoe UI"/>
          <w:color w:val="333333"/>
          <w:kern w:val="0"/>
          <w:sz w:val="18"/>
          <w:szCs w:val="18"/>
          <w14:ligatures w14:val="none"/>
        </w:rPr>
        <w:fldChar w:fldCharType="end"/>
      </w:r>
    </w:p>
    <w:p w14:paraId="3C9DD822" w14:textId="77777777" w:rsidR="00537900" w:rsidRDefault="00537900" w:rsidP="00D6270C">
      <w:pPr>
        <w:pStyle w:val="NormalWeb"/>
        <w:spacing w:line="480" w:lineRule="auto"/>
        <w:jc w:val="center"/>
        <w:rPr>
          <w:b/>
          <w:bCs/>
        </w:rPr>
      </w:pPr>
    </w:p>
    <w:p w14:paraId="64307CDB" w14:textId="77777777" w:rsidR="00537900" w:rsidRDefault="00537900" w:rsidP="00D6270C">
      <w:pPr>
        <w:pStyle w:val="NormalWeb"/>
        <w:spacing w:line="480" w:lineRule="auto"/>
        <w:jc w:val="center"/>
        <w:rPr>
          <w:b/>
          <w:bCs/>
        </w:rPr>
      </w:pPr>
    </w:p>
    <w:p w14:paraId="4094FD78" w14:textId="77777777" w:rsidR="00537900" w:rsidRDefault="00537900" w:rsidP="00D6270C">
      <w:pPr>
        <w:pStyle w:val="NormalWeb"/>
        <w:spacing w:line="480" w:lineRule="auto"/>
        <w:jc w:val="center"/>
        <w:rPr>
          <w:b/>
          <w:bCs/>
        </w:rPr>
      </w:pPr>
    </w:p>
    <w:p w14:paraId="0130C8CD" w14:textId="77777777" w:rsidR="00537900" w:rsidRDefault="00537900" w:rsidP="00D6270C">
      <w:pPr>
        <w:pStyle w:val="NormalWeb"/>
        <w:spacing w:line="480" w:lineRule="auto"/>
        <w:jc w:val="center"/>
        <w:rPr>
          <w:b/>
          <w:bCs/>
        </w:rPr>
      </w:pPr>
    </w:p>
    <w:p w14:paraId="6AC064DD" w14:textId="77777777" w:rsidR="00B73759" w:rsidRDefault="00B73759" w:rsidP="00D6270C">
      <w:pPr>
        <w:pStyle w:val="NormalWeb"/>
        <w:spacing w:line="480" w:lineRule="auto"/>
        <w:jc w:val="center"/>
        <w:rPr>
          <w:b/>
          <w:bCs/>
        </w:rPr>
      </w:pPr>
    </w:p>
    <w:p w14:paraId="463D64DD" w14:textId="77777777" w:rsidR="00B73759" w:rsidRDefault="00B73759" w:rsidP="00D6270C">
      <w:pPr>
        <w:pStyle w:val="NormalWeb"/>
        <w:spacing w:line="480" w:lineRule="auto"/>
        <w:jc w:val="center"/>
        <w:rPr>
          <w:b/>
          <w:bCs/>
        </w:rPr>
      </w:pPr>
    </w:p>
    <w:p w14:paraId="64DB32B3" w14:textId="77777777" w:rsidR="00343EDF" w:rsidRDefault="00343EDF" w:rsidP="00D6270C">
      <w:pPr>
        <w:pStyle w:val="NormalWeb"/>
        <w:spacing w:line="480" w:lineRule="auto"/>
        <w:jc w:val="center"/>
        <w:rPr>
          <w:b/>
          <w:bCs/>
        </w:rPr>
      </w:pPr>
    </w:p>
    <w:p w14:paraId="4A0C5489" w14:textId="77777777" w:rsidR="00537900" w:rsidRDefault="00537900" w:rsidP="00CC6143">
      <w:pPr>
        <w:pStyle w:val="NormalWeb"/>
        <w:spacing w:line="480" w:lineRule="auto"/>
        <w:rPr>
          <w:b/>
          <w:bCs/>
        </w:rPr>
      </w:pPr>
    </w:p>
    <w:p w14:paraId="7596B905" w14:textId="77777777" w:rsidR="00984867" w:rsidRDefault="00984867" w:rsidP="00CC6143">
      <w:pPr>
        <w:pStyle w:val="NormalWeb"/>
        <w:spacing w:line="480" w:lineRule="auto"/>
        <w:rPr>
          <w:b/>
          <w:bCs/>
        </w:rPr>
      </w:pPr>
    </w:p>
    <w:p w14:paraId="62FF10BB" w14:textId="150A5FDD" w:rsidR="00D6270C" w:rsidRPr="005E0FC2" w:rsidRDefault="00D6270C" w:rsidP="00D6270C">
      <w:pPr>
        <w:pStyle w:val="NormalWeb"/>
        <w:spacing w:line="480" w:lineRule="auto"/>
        <w:jc w:val="center"/>
        <w:rPr>
          <w:b/>
          <w:bCs/>
        </w:rPr>
      </w:pPr>
      <w:r w:rsidRPr="005E0FC2">
        <w:rPr>
          <w:b/>
          <w:bCs/>
        </w:rPr>
        <w:lastRenderedPageBreak/>
        <w:t>References</w:t>
      </w:r>
    </w:p>
    <w:p w14:paraId="5CE38AB7" w14:textId="02B8AAA9" w:rsidR="00D6270C" w:rsidRDefault="00D6270C" w:rsidP="00D6270C">
      <w:pPr>
        <w:pStyle w:val="NormalWeb"/>
        <w:spacing w:before="0" w:beforeAutospacing="0" w:after="0" w:afterAutospacing="0" w:line="480" w:lineRule="atLeast"/>
        <w:ind w:left="720" w:hanging="720"/>
        <w:rPr>
          <w:rStyle w:val="url"/>
          <w:rFonts w:eastAsiaTheme="majorEastAsia"/>
          <w:color w:val="000000"/>
        </w:rPr>
      </w:pPr>
      <w:proofErr w:type="spellStart"/>
      <w:r>
        <w:rPr>
          <w:color w:val="000000"/>
        </w:rPr>
        <w:t>Fuligni</w:t>
      </w:r>
      <w:proofErr w:type="spellEnd"/>
      <w:r>
        <w:rPr>
          <w:color w:val="000000"/>
        </w:rPr>
        <w:t>, A. J., &amp; Pedersen, S. (2002). Family obligation and the transition to young adulthood.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i/>
          <w:iCs/>
          <w:color w:val="000000"/>
        </w:rPr>
        <w:t>Developmental Psychology</w:t>
      </w:r>
      <w:r>
        <w:rPr>
          <w:color w:val="000000"/>
        </w:rPr>
        <w:t>,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i/>
          <w:iCs/>
          <w:color w:val="000000"/>
        </w:rPr>
        <w:t>38</w:t>
      </w:r>
      <w:r>
        <w:rPr>
          <w:color w:val="000000"/>
        </w:rPr>
        <w:t>(5), 856–868.</w:t>
      </w:r>
      <w:r>
        <w:rPr>
          <w:rStyle w:val="apple-converted-space"/>
          <w:rFonts w:eastAsiaTheme="majorEastAsia"/>
          <w:color w:val="000000"/>
        </w:rPr>
        <w:t> </w:t>
      </w:r>
      <w:hyperlink r:id="rId5" w:history="1">
        <w:r w:rsidR="00B73759" w:rsidRPr="00C662E5">
          <w:rPr>
            <w:rStyle w:val="Hyperlink"/>
            <w:rFonts w:eastAsiaTheme="majorEastAsia"/>
          </w:rPr>
          <w:t>https://doi.org/10.1037/0012-1649.38.5.856</w:t>
        </w:r>
      </w:hyperlink>
    </w:p>
    <w:p w14:paraId="603D303B" w14:textId="27B6153B" w:rsidR="00CC6143" w:rsidRPr="00CC6143" w:rsidRDefault="00CC6143" w:rsidP="00CC6143">
      <w:pPr>
        <w:pStyle w:val="NormalWeb"/>
        <w:spacing w:before="0" w:beforeAutospacing="0" w:after="0" w:afterAutospacing="0" w:line="480" w:lineRule="atLeast"/>
        <w:ind w:left="720" w:hanging="720"/>
        <w:rPr>
          <w:rStyle w:val="url"/>
          <w:color w:val="000000"/>
        </w:rPr>
      </w:pPr>
      <w:r>
        <w:rPr>
          <w:color w:val="000000"/>
        </w:rPr>
        <w:t>Juang, L. P., &amp; Cookston, J. T. (2009). A longitudinal study of family obligation and depressive symptoms among Chinese American adolescents.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i/>
          <w:iCs/>
          <w:color w:val="000000"/>
        </w:rPr>
        <w:t>Journal of Family Psychology</w:t>
      </w:r>
      <w:r>
        <w:rPr>
          <w:color w:val="000000"/>
        </w:rPr>
        <w:t>,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i/>
          <w:iCs/>
          <w:color w:val="000000"/>
        </w:rPr>
        <w:t>23</w:t>
      </w:r>
      <w:r>
        <w:rPr>
          <w:color w:val="000000"/>
        </w:rPr>
        <w:t>(3), 396–404.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url"/>
          <w:rFonts w:eastAsiaTheme="majorEastAsia"/>
          <w:color w:val="000000"/>
        </w:rPr>
        <w:t>https://doi.org/10.1037/a0015814</w:t>
      </w:r>
    </w:p>
    <w:p w14:paraId="21ABFF99" w14:textId="4A62243A" w:rsidR="00B73759" w:rsidRDefault="00B73759" w:rsidP="00B73759">
      <w:pPr>
        <w:pStyle w:val="NormalWeb"/>
        <w:spacing w:before="0" w:beforeAutospacing="0" w:after="0" w:afterAutospacing="0" w:line="480" w:lineRule="atLeast"/>
        <w:ind w:left="720" w:hanging="720"/>
        <w:rPr>
          <w:color w:val="000000"/>
        </w:rPr>
      </w:pPr>
      <w:r>
        <w:rPr>
          <w:color w:val="000000"/>
        </w:rPr>
        <w:t>Karuppiah, N., &amp; Poon, K. (2021). Early childhood education in Singapore. In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i/>
          <w:iCs/>
          <w:color w:val="000000"/>
        </w:rPr>
        <w:t>Springer international handbooks of education</w:t>
      </w:r>
      <w:r>
        <w:rPr>
          <w:color w:val="000000"/>
        </w:rPr>
        <w:t>(pp. 1–20).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url"/>
          <w:rFonts w:eastAsiaTheme="majorEastAsia"/>
          <w:color w:val="000000"/>
        </w:rPr>
        <w:t>https://doi.org/10.1007/978-981-16-8136-3_4-1</w:t>
      </w:r>
    </w:p>
    <w:p w14:paraId="2B4C1C99" w14:textId="77777777" w:rsidR="00D6270C" w:rsidRPr="00537900" w:rsidRDefault="00D6270C" w:rsidP="00D6270C">
      <w:pPr>
        <w:pStyle w:val="NormalWeb"/>
        <w:spacing w:before="0" w:beforeAutospacing="0" w:after="0" w:afterAutospacing="0" w:line="480" w:lineRule="atLeast"/>
        <w:ind w:left="720" w:hanging="720"/>
        <w:rPr>
          <w:rStyle w:val="url"/>
          <w:rFonts w:eastAsiaTheme="majorEastAsia"/>
          <w:color w:val="000000"/>
        </w:rPr>
      </w:pPr>
      <w:r w:rsidRPr="00537900">
        <w:rPr>
          <w:color w:val="000000"/>
        </w:rPr>
        <w:t>Milan, S., &amp; Wortel, S. (2014). Family obligation values as a protective and vulnerability factor among Low-Income adolescent girls.</w:t>
      </w:r>
      <w:r w:rsidRPr="00537900">
        <w:rPr>
          <w:rStyle w:val="apple-converted-space"/>
          <w:rFonts w:eastAsiaTheme="majorEastAsia"/>
          <w:color w:val="000000"/>
        </w:rPr>
        <w:t> </w:t>
      </w:r>
      <w:r w:rsidRPr="00537900">
        <w:rPr>
          <w:i/>
          <w:iCs/>
          <w:color w:val="000000"/>
        </w:rPr>
        <w:t>Journal of Youth and Adolescence</w:t>
      </w:r>
      <w:r w:rsidRPr="00537900">
        <w:rPr>
          <w:color w:val="000000"/>
        </w:rPr>
        <w:t>,</w:t>
      </w:r>
      <w:r w:rsidRPr="00537900">
        <w:rPr>
          <w:rStyle w:val="apple-converted-space"/>
          <w:rFonts w:eastAsiaTheme="majorEastAsia"/>
          <w:color w:val="000000"/>
        </w:rPr>
        <w:t> </w:t>
      </w:r>
      <w:r w:rsidRPr="00537900">
        <w:rPr>
          <w:i/>
          <w:iCs/>
          <w:color w:val="000000"/>
        </w:rPr>
        <w:t>44</w:t>
      </w:r>
      <w:r w:rsidRPr="00537900">
        <w:rPr>
          <w:color w:val="000000"/>
        </w:rPr>
        <w:t>(6), 1183–1193.</w:t>
      </w:r>
      <w:r w:rsidRPr="00537900">
        <w:rPr>
          <w:rStyle w:val="apple-converted-space"/>
          <w:rFonts w:eastAsiaTheme="majorEastAsia"/>
          <w:color w:val="000000"/>
        </w:rPr>
        <w:t> </w:t>
      </w:r>
      <w:hyperlink r:id="rId6" w:history="1">
        <w:r w:rsidRPr="00537900">
          <w:rPr>
            <w:rStyle w:val="Hyperlink"/>
            <w:rFonts w:eastAsiaTheme="majorEastAsia"/>
          </w:rPr>
          <w:t>https://doi.org/10.1007/s10964-014-0206-8</w:t>
        </w:r>
      </w:hyperlink>
    </w:p>
    <w:p w14:paraId="709ABAB1" w14:textId="77777777" w:rsidR="00D6270C" w:rsidRDefault="00D6270C" w:rsidP="00D6270C">
      <w:pPr>
        <w:pStyle w:val="NormalWeb"/>
        <w:spacing w:before="0" w:beforeAutospacing="0" w:after="0" w:afterAutospacing="0" w:line="480" w:lineRule="atLeast"/>
        <w:ind w:left="720" w:hanging="720"/>
        <w:rPr>
          <w:rStyle w:val="url"/>
          <w:rFonts w:eastAsiaTheme="majorEastAsia"/>
          <w:color w:val="000000"/>
        </w:rPr>
      </w:pPr>
      <w:r>
        <w:rPr>
          <w:color w:val="000000"/>
        </w:rPr>
        <w:t xml:space="preserve">Quach, A. S., Epstein, N. B., Riley, P. J., </w:t>
      </w:r>
      <w:proofErr w:type="spellStart"/>
      <w:r>
        <w:rPr>
          <w:color w:val="000000"/>
        </w:rPr>
        <w:t>Falconier</w:t>
      </w:r>
      <w:proofErr w:type="spellEnd"/>
      <w:r>
        <w:rPr>
          <w:color w:val="000000"/>
        </w:rPr>
        <w:t>, M. K., &amp; Fang, X. (2013). Effects of parental warmth and academic pressure on anxiety and depression symptoms in Chinese adolescents.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i/>
          <w:iCs/>
          <w:color w:val="000000"/>
        </w:rPr>
        <w:t>Journal of Child and Family Studies</w:t>
      </w:r>
      <w:r>
        <w:rPr>
          <w:color w:val="000000"/>
        </w:rPr>
        <w:t>,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i/>
          <w:iCs/>
          <w:color w:val="000000"/>
        </w:rPr>
        <w:t>24</w:t>
      </w:r>
      <w:r>
        <w:rPr>
          <w:color w:val="000000"/>
        </w:rPr>
        <w:t>(1), 106–116.</w:t>
      </w:r>
      <w:r>
        <w:rPr>
          <w:rStyle w:val="apple-converted-space"/>
          <w:rFonts w:eastAsiaTheme="majorEastAsia"/>
          <w:color w:val="000000"/>
        </w:rPr>
        <w:t> </w:t>
      </w:r>
      <w:hyperlink r:id="rId7" w:history="1">
        <w:r w:rsidRPr="004927E6">
          <w:rPr>
            <w:rStyle w:val="Hyperlink"/>
            <w:rFonts w:eastAsiaTheme="majorEastAsia"/>
          </w:rPr>
          <w:t>https://doi.org/10.1007/s10826-013-9818-y</w:t>
        </w:r>
      </w:hyperlink>
    </w:p>
    <w:p w14:paraId="7AF8FA87" w14:textId="77777777" w:rsidR="00D6270C" w:rsidRDefault="00D6270C" w:rsidP="00D6270C">
      <w:pPr>
        <w:pStyle w:val="NormalWeb"/>
        <w:spacing w:before="0" w:beforeAutospacing="0" w:after="0" w:afterAutospacing="0" w:line="480" w:lineRule="atLeast"/>
        <w:ind w:left="720" w:hanging="720"/>
        <w:rPr>
          <w:rStyle w:val="url"/>
          <w:rFonts w:eastAsiaTheme="majorEastAsia"/>
          <w:color w:val="000000"/>
        </w:rPr>
      </w:pPr>
      <w:r w:rsidRPr="000741DF">
        <w:rPr>
          <w:rFonts w:eastAsiaTheme="majorEastAsia"/>
          <w:color w:val="000000"/>
        </w:rPr>
        <w:t>Ryan, R. M., &amp; Deci, E. L. (2000). Self-determination theory and the facilitation of intrinsic motivation, social development, and well-being. </w:t>
      </w:r>
      <w:r w:rsidRPr="000741DF">
        <w:rPr>
          <w:rFonts w:eastAsiaTheme="majorEastAsia"/>
          <w:i/>
          <w:iCs/>
          <w:color w:val="000000"/>
        </w:rPr>
        <w:t>American Psychologist, 55</w:t>
      </w:r>
      <w:r w:rsidRPr="000741DF">
        <w:rPr>
          <w:rFonts w:eastAsiaTheme="majorEastAsia"/>
          <w:color w:val="000000"/>
        </w:rPr>
        <w:t>(1), 68–78. </w:t>
      </w:r>
      <w:hyperlink r:id="rId8" w:tgtFrame="_blank" w:history="1">
        <w:r w:rsidRPr="000741DF">
          <w:rPr>
            <w:rStyle w:val="Hyperlink"/>
            <w:rFonts w:eastAsiaTheme="majorEastAsia"/>
          </w:rPr>
          <w:t>https://doi.org/10.1037/0003-066X.55.1.68</w:t>
        </w:r>
      </w:hyperlink>
    </w:p>
    <w:p w14:paraId="49BC72D7" w14:textId="77777777" w:rsidR="00D6270C" w:rsidRDefault="00D6270C" w:rsidP="00D6270C">
      <w:pPr>
        <w:pStyle w:val="NormalWeb"/>
        <w:spacing w:before="0" w:beforeAutospacing="0" w:after="0" w:afterAutospacing="0" w:line="480" w:lineRule="atLeast"/>
        <w:ind w:left="720" w:hanging="720"/>
        <w:rPr>
          <w:color w:val="000000"/>
        </w:rPr>
      </w:pPr>
      <w:proofErr w:type="spellStart"/>
      <w:r>
        <w:rPr>
          <w:color w:val="000000"/>
        </w:rPr>
        <w:t>Slimmen</w:t>
      </w:r>
      <w:proofErr w:type="spellEnd"/>
      <w:r>
        <w:rPr>
          <w:color w:val="000000"/>
        </w:rPr>
        <w:t>, S., Timmermans, O., Mikolajczak-</w:t>
      </w:r>
      <w:proofErr w:type="spellStart"/>
      <w:r>
        <w:rPr>
          <w:color w:val="000000"/>
        </w:rPr>
        <w:t>Degrauwe</w:t>
      </w:r>
      <w:proofErr w:type="spellEnd"/>
      <w:r>
        <w:rPr>
          <w:color w:val="000000"/>
        </w:rPr>
        <w:t xml:space="preserve">, K., &amp; </w:t>
      </w:r>
      <w:proofErr w:type="spellStart"/>
      <w:r>
        <w:rPr>
          <w:color w:val="000000"/>
        </w:rPr>
        <w:t>Oenema</w:t>
      </w:r>
      <w:proofErr w:type="spellEnd"/>
      <w:r>
        <w:rPr>
          <w:color w:val="000000"/>
        </w:rPr>
        <w:t>, A. (2022). How stress-related factors affect mental wellbeing of university students A cross-sectional study to explore the associations between stressors, perceived stress, and mental wellbeing.</w:t>
      </w:r>
      <w:r>
        <w:rPr>
          <w:rStyle w:val="apple-converted-space"/>
          <w:rFonts w:eastAsiaTheme="majorEastAsia"/>
          <w:color w:val="000000"/>
        </w:rPr>
        <w:t> </w:t>
      </w:r>
      <w:proofErr w:type="spellStart"/>
      <w:r>
        <w:rPr>
          <w:i/>
          <w:iCs/>
          <w:color w:val="000000"/>
        </w:rPr>
        <w:t>PLoS</w:t>
      </w:r>
      <w:proofErr w:type="spellEnd"/>
      <w:r>
        <w:rPr>
          <w:i/>
          <w:iCs/>
          <w:color w:val="000000"/>
        </w:rPr>
        <w:t xml:space="preserve"> ONE</w:t>
      </w:r>
      <w:r>
        <w:rPr>
          <w:color w:val="000000"/>
        </w:rPr>
        <w:t>,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i/>
          <w:iCs/>
          <w:color w:val="000000"/>
        </w:rPr>
        <w:t>17</w:t>
      </w:r>
      <w:r>
        <w:rPr>
          <w:color w:val="000000"/>
        </w:rPr>
        <w:t>(11), e0275925.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url"/>
          <w:rFonts w:eastAsiaTheme="majorEastAsia"/>
          <w:color w:val="000000"/>
        </w:rPr>
        <w:t>https://doi.org/10.1371/journal.pone.0275925</w:t>
      </w:r>
    </w:p>
    <w:p w14:paraId="198A5FCB" w14:textId="4F6D983E" w:rsidR="007D66B5" w:rsidRPr="00B56F5D" w:rsidRDefault="007D66B5"/>
    <w:sectPr w:rsidR="007D66B5" w:rsidRPr="00B56F5D" w:rsidSect="000C437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F5D"/>
    <w:rsid w:val="00001A6A"/>
    <w:rsid w:val="0001301B"/>
    <w:rsid w:val="00021D6F"/>
    <w:rsid w:val="00035A5F"/>
    <w:rsid w:val="00056199"/>
    <w:rsid w:val="00091465"/>
    <w:rsid w:val="000A293E"/>
    <w:rsid w:val="000C4373"/>
    <w:rsid w:val="000E791D"/>
    <w:rsid w:val="000F091C"/>
    <w:rsid w:val="000F550C"/>
    <w:rsid w:val="001115BF"/>
    <w:rsid w:val="0011507B"/>
    <w:rsid w:val="001214D2"/>
    <w:rsid w:val="0012683D"/>
    <w:rsid w:val="001301D9"/>
    <w:rsid w:val="00131865"/>
    <w:rsid w:val="00137F2E"/>
    <w:rsid w:val="001447EF"/>
    <w:rsid w:val="00150D58"/>
    <w:rsid w:val="001551F0"/>
    <w:rsid w:val="00171699"/>
    <w:rsid w:val="00182B7C"/>
    <w:rsid w:val="0019319D"/>
    <w:rsid w:val="001B70C5"/>
    <w:rsid w:val="001D0C33"/>
    <w:rsid w:val="001D3DAF"/>
    <w:rsid w:val="001E557A"/>
    <w:rsid w:val="00224E95"/>
    <w:rsid w:val="002371CE"/>
    <w:rsid w:val="002400C5"/>
    <w:rsid w:val="002616B4"/>
    <w:rsid w:val="002629B1"/>
    <w:rsid w:val="00262CDE"/>
    <w:rsid w:val="002671F2"/>
    <w:rsid w:val="002757B6"/>
    <w:rsid w:val="002A1C92"/>
    <w:rsid w:val="002C469B"/>
    <w:rsid w:val="002F291A"/>
    <w:rsid w:val="002F373F"/>
    <w:rsid w:val="002F6C49"/>
    <w:rsid w:val="003147A5"/>
    <w:rsid w:val="003252A3"/>
    <w:rsid w:val="003425F2"/>
    <w:rsid w:val="00343EDF"/>
    <w:rsid w:val="00352FC8"/>
    <w:rsid w:val="00357659"/>
    <w:rsid w:val="00357717"/>
    <w:rsid w:val="003606FD"/>
    <w:rsid w:val="00385559"/>
    <w:rsid w:val="003A2316"/>
    <w:rsid w:val="003B5175"/>
    <w:rsid w:val="003B72AE"/>
    <w:rsid w:val="003D2B82"/>
    <w:rsid w:val="003D305C"/>
    <w:rsid w:val="00416645"/>
    <w:rsid w:val="00440B94"/>
    <w:rsid w:val="004453FF"/>
    <w:rsid w:val="00446C60"/>
    <w:rsid w:val="00452E19"/>
    <w:rsid w:val="00480762"/>
    <w:rsid w:val="0048520A"/>
    <w:rsid w:val="004876BE"/>
    <w:rsid w:val="00487B3D"/>
    <w:rsid w:val="00491448"/>
    <w:rsid w:val="004A386C"/>
    <w:rsid w:val="004A5F97"/>
    <w:rsid w:val="004B4094"/>
    <w:rsid w:val="004C0CD4"/>
    <w:rsid w:val="004C159F"/>
    <w:rsid w:val="004C15A2"/>
    <w:rsid w:val="004C4688"/>
    <w:rsid w:val="004D4B13"/>
    <w:rsid w:val="004E0CAE"/>
    <w:rsid w:val="00506842"/>
    <w:rsid w:val="00536876"/>
    <w:rsid w:val="00537900"/>
    <w:rsid w:val="0054295C"/>
    <w:rsid w:val="00563AD6"/>
    <w:rsid w:val="00571325"/>
    <w:rsid w:val="0057197B"/>
    <w:rsid w:val="00584F21"/>
    <w:rsid w:val="005925AE"/>
    <w:rsid w:val="005965A9"/>
    <w:rsid w:val="005A2CAA"/>
    <w:rsid w:val="005D1878"/>
    <w:rsid w:val="005D2EEA"/>
    <w:rsid w:val="005E16F4"/>
    <w:rsid w:val="005E24E3"/>
    <w:rsid w:val="005E6CD6"/>
    <w:rsid w:val="00602638"/>
    <w:rsid w:val="0062009D"/>
    <w:rsid w:val="00632218"/>
    <w:rsid w:val="00636DA4"/>
    <w:rsid w:val="0064179E"/>
    <w:rsid w:val="006671AD"/>
    <w:rsid w:val="0067242A"/>
    <w:rsid w:val="00677F74"/>
    <w:rsid w:val="0068101C"/>
    <w:rsid w:val="006A5B2B"/>
    <w:rsid w:val="006C1B10"/>
    <w:rsid w:val="006E4893"/>
    <w:rsid w:val="006E6BF6"/>
    <w:rsid w:val="006E7B46"/>
    <w:rsid w:val="006F446C"/>
    <w:rsid w:val="00741603"/>
    <w:rsid w:val="00742CCA"/>
    <w:rsid w:val="00743752"/>
    <w:rsid w:val="007550F2"/>
    <w:rsid w:val="0076708F"/>
    <w:rsid w:val="007738E6"/>
    <w:rsid w:val="007742F8"/>
    <w:rsid w:val="00774565"/>
    <w:rsid w:val="007842FC"/>
    <w:rsid w:val="007A27A7"/>
    <w:rsid w:val="007B09A5"/>
    <w:rsid w:val="007B4D1A"/>
    <w:rsid w:val="007C004D"/>
    <w:rsid w:val="007C0A8A"/>
    <w:rsid w:val="007C22EB"/>
    <w:rsid w:val="007D0191"/>
    <w:rsid w:val="007D66B5"/>
    <w:rsid w:val="007E6C6B"/>
    <w:rsid w:val="007F2B96"/>
    <w:rsid w:val="007F4E6C"/>
    <w:rsid w:val="00801F31"/>
    <w:rsid w:val="00827956"/>
    <w:rsid w:val="00872CEF"/>
    <w:rsid w:val="00877E34"/>
    <w:rsid w:val="00882F71"/>
    <w:rsid w:val="00884D1F"/>
    <w:rsid w:val="00891E5E"/>
    <w:rsid w:val="00895F99"/>
    <w:rsid w:val="008A182F"/>
    <w:rsid w:val="008A3C99"/>
    <w:rsid w:val="008C1E6B"/>
    <w:rsid w:val="008C637D"/>
    <w:rsid w:val="008D6DE2"/>
    <w:rsid w:val="008E4153"/>
    <w:rsid w:val="008E5A6C"/>
    <w:rsid w:val="008F7B8F"/>
    <w:rsid w:val="00901B84"/>
    <w:rsid w:val="009052AF"/>
    <w:rsid w:val="00921732"/>
    <w:rsid w:val="009346F8"/>
    <w:rsid w:val="0094447F"/>
    <w:rsid w:val="00947A32"/>
    <w:rsid w:val="0096279C"/>
    <w:rsid w:val="00970117"/>
    <w:rsid w:val="009765F5"/>
    <w:rsid w:val="00984867"/>
    <w:rsid w:val="009872EB"/>
    <w:rsid w:val="00991A48"/>
    <w:rsid w:val="009B295B"/>
    <w:rsid w:val="009B3B0B"/>
    <w:rsid w:val="009C296C"/>
    <w:rsid w:val="009C55CA"/>
    <w:rsid w:val="009C6D45"/>
    <w:rsid w:val="009D4920"/>
    <w:rsid w:val="009D667D"/>
    <w:rsid w:val="009E0A08"/>
    <w:rsid w:val="009F377A"/>
    <w:rsid w:val="00A04E33"/>
    <w:rsid w:val="00A11BA4"/>
    <w:rsid w:val="00A24918"/>
    <w:rsid w:val="00A25456"/>
    <w:rsid w:val="00A52B0C"/>
    <w:rsid w:val="00A578E9"/>
    <w:rsid w:val="00A60209"/>
    <w:rsid w:val="00A815C0"/>
    <w:rsid w:val="00A81959"/>
    <w:rsid w:val="00A84BF2"/>
    <w:rsid w:val="00A85528"/>
    <w:rsid w:val="00A90E8C"/>
    <w:rsid w:val="00A93CA8"/>
    <w:rsid w:val="00AD5CAC"/>
    <w:rsid w:val="00AE2025"/>
    <w:rsid w:val="00AF6632"/>
    <w:rsid w:val="00B025F6"/>
    <w:rsid w:val="00B157D2"/>
    <w:rsid w:val="00B22291"/>
    <w:rsid w:val="00B23554"/>
    <w:rsid w:val="00B25D80"/>
    <w:rsid w:val="00B369C3"/>
    <w:rsid w:val="00B56F5D"/>
    <w:rsid w:val="00B649CC"/>
    <w:rsid w:val="00B73759"/>
    <w:rsid w:val="00B83513"/>
    <w:rsid w:val="00B9590A"/>
    <w:rsid w:val="00BA4543"/>
    <w:rsid w:val="00BA7BBF"/>
    <w:rsid w:val="00BC1839"/>
    <w:rsid w:val="00BD16D7"/>
    <w:rsid w:val="00BD7698"/>
    <w:rsid w:val="00BE353B"/>
    <w:rsid w:val="00BE568B"/>
    <w:rsid w:val="00BF2FAA"/>
    <w:rsid w:val="00BF5F2B"/>
    <w:rsid w:val="00C07D6B"/>
    <w:rsid w:val="00C162DF"/>
    <w:rsid w:val="00C35AE1"/>
    <w:rsid w:val="00C377F8"/>
    <w:rsid w:val="00C502B4"/>
    <w:rsid w:val="00C577B6"/>
    <w:rsid w:val="00C627EB"/>
    <w:rsid w:val="00C75ACA"/>
    <w:rsid w:val="00C97485"/>
    <w:rsid w:val="00CA06FE"/>
    <w:rsid w:val="00CA3726"/>
    <w:rsid w:val="00CA7FC0"/>
    <w:rsid w:val="00CB5CB1"/>
    <w:rsid w:val="00CB6D8A"/>
    <w:rsid w:val="00CC431F"/>
    <w:rsid w:val="00CC6143"/>
    <w:rsid w:val="00CD6E24"/>
    <w:rsid w:val="00CE3B03"/>
    <w:rsid w:val="00D05F88"/>
    <w:rsid w:val="00D6270C"/>
    <w:rsid w:val="00D66981"/>
    <w:rsid w:val="00D817C7"/>
    <w:rsid w:val="00D8477D"/>
    <w:rsid w:val="00D906A7"/>
    <w:rsid w:val="00D911F4"/>
    <w:rsid w:val="00D97629"/>
    <w:rsid w:val="00DA1D2E"/>
    <w:rsid w:val="00DA3BA4"/>
    <w:rsid w:val="00DB04AE"/>
    <w:rsid w:val="00DB1764"/>
    <w:rsid w:val="00DB2DAE"/>
    <w:rsid w:val="00DE64AA"/>
    <w:rsid w:val="00E07AD5"/>
    <w:rsid w:val="00E25418"/>
    <w:rsid w:val="00E31980"/>
    <w:rsid w:val="00E374F1"/>
    <w:rsid w:val="00E50F62"/>
    <w:rsid w:val="00E5224E"/>
    <w:rsid w:val="00E53E6D"/>
    <w:rsid w:val="00E55456"/>
    <w:rsid w:val="00E722FA"/>
    <w:rsid w:val="00E76D86"/>
    <w:rsid w:val="00E94052"/>
    <w:rsid w:val="00E962C9"/>
    <w:rsid w:val="00EA0C2D"/>
    <w:rsid w:val="00EA46B7"/>
    <w:rsid w:val="00EB4476"/>
    <w:rsid w:val="00EB7289"/>
    <w:rsid w:val="00ED04E5"/>
    <w:rsid w:val="00ED2242"/>
    <w:rsid w:val="00ED25E5"/>
    <w:rsid w:val="00ED4F95"/>
    <w:rsid w:val="00EF096D"/>
    <w:rsid w:val="00EF22FC"/>
    <w:rsid w:val="00F12531"/>
    <w:rsid w:val="00F129F0"/>
    <w:rsid w:val="00F4659B"/>
    <w:rsid w:val="00F50362"/>
    <w:rsid w:val="00F851E1"/>
    <w:rsid w:val="00FB2794"/>
    <w:rsid w:val="00FB3CB2"/>
    <w:rsid w:val="00FC1886"/>
    <w:rsid w:val="00FD5415"/>
    <w:rsid w:val="00FD639D"/>
    <w:rsid w:val="00FF3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764D4"/>
  <w15:chartTrackingRefBased/>
  <w15:docId w15:val="{ED4CA162-ECA0-E141-AFA6-7A20D6186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SG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6F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6F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56F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6F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6F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6F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6F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6F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6F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6F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56F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56F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6F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6F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6F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6F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6F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6F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6F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6F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6F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6F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6F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6F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6F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6F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6F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6F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6F5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B56F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B56F5D"/>
    <w:rPr>
      <w:b/>
      <w:bCs/>
    </w:rPr>
  </w:style>
  <w:style w:type="character" w:styleId="Emphasis">
    <w:name w:val="Emphasis"/>
    <w:basedOn w:val="DefaultParagraphFont"/>
    <w:uiPriority w:val="20"/>
    <w:qFormat/>
    <w:rsid w:val="00CD6E24"/>
    <w:rPr>
      <w:i/>
      <w:iCs/>
    </w:rPr>
  </w:style>
  <w:style w:type="character" w:customStyle="1" w:styleId="katex-mathml">
    <w:name w:val="katex-mathml"/>
    <w:basedOn w:val="DefaultParagraphFont"/>
    <w:rsid w:val="00357717"/>
  </w:style>
  <w:style w:type="character" w:customStyle="1" w:styleId="mord">
    <w:name w:val="mord"/>
    <w:basedOn w:val="DefaultParagraphFont"/>
    <w:rsid w:val="00357717"/>
  </w:style>
  <w:style w:type="character" w:customStyle="1" w:styleId="mrel">
    <w:name w:val="mrel"/>
    <w:basedOn w:val="DefaultParagraphFont"/>
    <w:rsid w:val="00357717"/>
  </w:style>
  <w:style w:type="character" w:customStyle="1" w:styleId="apple-converted-space">
    <w:name w:val="apple-converted-space"/>
    <w:basedOn w:val="DefaultParagraphFont"/>
    <w:rsid w:val="00357717"/>
  </w:style>
  <w:style w:type="character" w:customStyle="1" w:styleId="url">
    <w:name w:val="url"/>
    <w:basedOn w:val="DefaultParagraphFont"/>
    <w:rsid w:val="00D6270C"/>
  </w:style>
  <w:style w:type="character" w:styleId="Hyperlink">
    <w:name w:val="Hyperlink"/>
    <w:basedOn w:val="DefaultParagraphFont"/>
    <w:uiPriority w:val="99"/>
    <w:unhideWhenUsed/>
    <w:rsid w:val="00D6270C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37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38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1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2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7467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468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sycnet.apa.org/doi/10.1037/0003-066X.55.1.6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oi.org/10.1007/s10826-013-9818-y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007/s10964-014-0206-8" TargetMode="External"/><Relationship Id="rId5" Type="http://schemas.openxmlformats.org/officeDocument/2006/relationships/hyperlink" Target="https://doi.org/10.1037/0012-1649.38.5.856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832</Words>
  <Characters>4748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#DAWNN LIM XINGYI#</dc:creator>
  <cp:keywords/>
  <dc:description/>
  <cp:lastModifiedBy>#DAWNN LIM XINGYI#</cp:lastModifiedBy>
  <cp:revision>2</cp:revision>
  <dcterms:created xsi:type="dcterms:W3CDTF">2025-07-31T12:38:00Z</dcterms:created>
  <dcterms:modified xsi:type="dcterms:W3CDTF">2025-07-31T12:38:00Z</dcterms:modified>
</cp:coreProperties>
</file>