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64B6" w14:textId="5AFDC2B4" w:rsidR="00C73598" w:rsidRPr="00DD5C77" w:rsidRDefault="00C309C7">
      <w:pPr>
        <w:jc w:val="center"/>
        <w:rPr>
          <w:b/>
          <w:sz w:val="28"/>
          <w:szCs w:val="24"/>
        </w:rPr>
      </w:pPr>
      <w:r w:rsidRPr="00DD5C77">
        <w:rPr>
          <w:b/>
          <w:sz w:val="28"/>
          <w:szCs w:val="24"/>
        </w:rPr>
        <w:t xml:space="preserve">Electricity Market Design: How do we </w:t>
      </w:r>
      <w:r w:rsidR="007A4887" w:rsidRPr="00DD5C77">
        <w:rPr>
          <w:b/>
          <w:sz w:val="28"/>
          <w:szCs w:val="24"/>
        </w:rPr>
        <w:t xml:space="preserve">get </w:t>
      </w:r>
      <w:r w:rsidR="007D6F9B" w:rsidRPr="00DD5C77">
        <w:rPr>
          <w:b/>
          <w:sz w:val="28"/>
          <w:szCs w:val="24"/>
        </w:rPr>
        <w:t xml:space="preserve">electricity </w:t>
      </w:r>
      <w:r w:rsidR="007A4887" w:rsidRPr="00DD5C77">
        <w:rPr>
          <w:b/>
          <w:sz w:val="28"/>
          <w:szCs w:val="24"/>
        </w:rPr>
        <w:t xml:space="preserve">markets to respect </w:t>
      </w:r>
      <w:r w:rsidR="00601D98">
        <w:rPr>
          <w:b/>
          <w:sz w:val="28"/>
          <w:szCs w:val="24"/>
        </w:rPr>
        <w:t xml:space="preserve">the levels of reliability that </w:t>
      </w:r>
      <w:r w:rsidR="007A4887" w:rsidRPr="00DD5C77">
        <w:rPr>
          <w:b/>
          <w:sz w:val="28"/>
          <w:szCs w:val="24"/>
        </w:rPr>
        <w:t xml:space="preserve">customers </w:t>
      </w:r>
      <w:r w:rsidR="00601D98">
        <w:rPr>
          <w:b/>
          <w:sz w:val="28"/>
          <w:szCs w:val="24"/>
        </w:rPr>
        <w:t>are willing to pay for</w:t>
      </w:r>
      <w:r w:rsidR="007A4887" w:rsidRPr="00DD5C77">
        <w:rPr>
          <w:b/>
          <w:sz w:val="28"/>
          <w:szCs w:val="24"/>
        </w:rPr>
        <w:t>?</w:t>
      </w:r>
    </w:p>
    <w:p w14:paraId="376B50D3" w14:textId="77777777" w:rsidR="00C309C7" w:rsidRPr="00DD5C77" w:rsidRDefault="00C309C7">
      <w:pPr>
        <w:jc w:val="center"/>
        <w:rPr>
          <w:b/>
          <w:sz w:val="32"/>
          <w:szCs w:val="28"/>
        </w:rPr>
      </w:pPr>
    </w:p>
    <w:p w14:paraId="01327DE8" w14:textId="41E9255D" w:rsidR="00C309C7" w:rsidRPr="00DD5C77" w:rsidRDefault="00C309C7">
      <w:pPr>
        <w:jc w:val="center"/>
        <w:rPr>
          <w:b/>
          <w:sz w:val="32"/>
          <w:szCs w:val="28"/>
        </w:rPr>
      </w:pPr>
      <w:r w:rsidRPr="00DD5C77">
        <w:rPr>
          <w:szCs w:val="28"/>
        </w:rPr>
        <w:t>Julia Frayer, Managing Director at London Economics International LLC, +1.617</w:t>
      </w:r>
      <w:r w:rsidR="00601D98">
        <w:rPr>
          <w:szCs w:val="28"/>
        </w:rPr>
        <w:t xml:space="preserve">413.8628 </w:t>
      </w:r>
      <w:hyperlink r:id="rId6" w:history="1">
        <w:r w:rsidRPr="00DD5C77">
          <w:rPr>
            <w:rStyle w:val="Hyperlink"/>
            <w:szCs w:val="28"/>
          </w:rPr>
          <w:t>julia@londoneconomics.com</w:t>
        </w:r>
      </w:hyperlink>
    </w:p>
    <w:p w14:paraId="1D23425E" w14:textId="77777777" w:rsidR="00C309C7" w:rsidRDefault="00C309C7">
      <w:pPr>
        <w:jc w:val="center"/>
        <w:rPr>
          <w:b/>
        </w:rPr>
      </w:pPr>
    </w:p>
    <w:p w14:paraId="5B075DDA" w14:textId="77777777" w:rsidR="00C73598" w:rsidRDefault="00C73598"/>
    <w:p w14:paraId="44A855D4" w14:textId="77777777" w:rsidR="00C73598" w:rsidRDefault="00000000">
      <w:r>
        <w:rPr>
          <w:b/>
        </w:rPr>
        <w:t>Abstract</w:t>
      </w:r>
    </w:p>
    <w:p w14:paraId="08F1737F" w14:textId="25A107EB" w:rsidR="00C73598" w:rsidRDefault="00000000">
      <w:r>
        <w:t xml:space="preserve">Electricity markets are increasingly misaligned with the technological and economic realities of modern power systems. Despite rapid </w:t>
      </w:r>
      <w:r w:rsidR="00601D98">
        <w:t>digitalization</w:t>
      </w:r>
      <w:r>
        <w:t xml:space="preserve">, distributed energy resources, and advanced demand-side capabilities, wholesale </w:t>
      </w:r>
      <w:r w:rsidR="00C309C7">
        <w:t xml:space="preserve">electricity </w:t>
      </w:r>
      <w:r>
        <w:t xml:space="preserve">market designs continue to rely on </w:t>
      </w:r>
      <w:r w:rsidR="00C309C7">
        <w:t>stylized</w:t>
      </w:r>
      <w:r>
        <w:t xml:space="preserve"> textbook constructs</w:t>
      </w:r>
      <w:r w:rsidR="00C309C7">
        <w:t xml:space="preserve"> and very old fashioned about final consumers’ ability to express their preferences as to the reliability they are willing to pay for   </w:t>
      </w:r>
      <w:r>
        <w:t>—</w:t>
      </w:r>
      <w:r w:rsidR="00C309C7">
        <w:t xml:space="preserve"> which is </w:t>
      </w:r>
      <w:r>
        <w:t>most notabl</w:t>
      </w:r>
      <w:r w:rsidR="00C309C7">
        <w:t>e in the continued use</w:t>
      </w:r>
      <w:r>
        <w:t xml:space="preserve"> a single Value of Lost Load (</w:t>
      </w:r>
      <w:proofErr w:type="spellStart"/>
      <w:r>
        <w:t>VoLL</w:t>
      </w:r>
      <w:proofErr w:type="spellEnd"/>
      <w:r>
        <w:t>) parameter applied uniformly across heterogeneous consumers. This paper asks: how can electricity markets be redesigned to bett</w:t>
      </w:r>
      <w:r>
        <w:t xml:space="preserve">er reflect and </w:t>
      </w:r>
      <w:r w:rsidR="00601D98">
        <w:t>operationalize</w:t>
      </w:r>
      <w:r>
        <w:t xml:space="preserve"> consumers’ differentiated willingness to pay for reliability?</w:t>
      </w:r>
    </w:p>
    <w:p w14:paraId="1368040E" w14:textId="77777777" w:rsidR="007A4887" w:rsidRDefault="007A4887"/>
    <w:p w14:paraId="6FFD5BE8" w14:textId="0D99A1D9" w:rsidR="00C309C7" w:rsidRPr="007A4887" w:rsidRDefault="007A4887">
      <w:pPr>
        <w:rPr>
          <w:b/>
          <w:bCs/>
        </w:rPr>
      </w:pPr>
      <w:r w:rsidRPr="007A4887">
        <w:rPr>
          <w:b/>
          <w:bCs/>
        </w:rPr>
        <w:t>Methods</w:t>
      </w:r>
    </w:p>
    <w:p w14:paraId="421DC12F" w14:textId="591CA92C" w:rsidR="000D365C" w:rsidRDefault="00000000">
      <w:r>
        <w:t xml:space="preserve">We </w:t>
      </w:r>
      <w:r w:rsidR="007A4887">
        <w:t xml:space="preserve">will begin this paper by explaining how </w:t>
      </w:r>
      <w:proofErr w:type="spellStart"/>
      <w:r w:rsidR="007A4887">
        <w:t>VoLL</w:t>
      </w:r>
      <w:proofErr w:type="spellEnd"/>
      <w:r w:rsidR="007A4887">
        <w:t xml:space="preserve"> estimates are used in modern competitive electricity markets, based on economic literature </w:t>
      </w:r>
      <w:proofErr w:type="gramStart"/>
      <w:r w:rsidR="007A4887">
        <w:t>s</w:t>
      </w:r>
      <w:r w:rsidR="007D6F9B">
        <w:t>urvey</w:t>
      </w:r>
      <w:proofErr w:type="gramEnd"/>
      <w:r w:rsidR="007A4887">
        <w:t xml:space="preserve"> and </w:t>
      </w:r>
      <w:proofErr w:type="gramStart"/>
      <w:r w:rsidR="007A4887">
        <w:t>review</w:t>
      </w:r>
      <w:proofErr w:type="gramEnd"/>
      <w:r w:rsidR="007A4887">
        <w:t xml:space="preserve"> of market rules around the world. We will then </w:t>
      </w:r>
      <w:r>
        <w:t>develop a</w:t>
      </w:r>
      <w:r w:rsidR="007A4887">
        <w:t xml:space="preserve">n evidence-based analysis of why a single </w:t>
      </w:r>
      <w:proofErr w:type="spellStart"/>
      <w:r w:rsidR="007A4887">
        <w:t>VoLL</w:t>
      </w:r>
      <w:proofErr w:type="spellEnd"/>
      <w:r w:rsidR="007A4887">
        <w:t xml:space="preserve"> measure is inadequate at ensuring social welfare </w:t>
      </w:r>
      <w:r w:rsidR="000D365C">
        <w:t>maximizing</w:t>
      </w:r>
      <w:r w:rsidR="007A4887">
        <w:t xml:space="preserve"> outcomes.  The</w:t>
      </w:r>
      <w:r>
        <w:t xml:space="preserve"> </w:t>
      </w:r>
      <w:r w:rsidR="007A4887">
        <w:t xml:space="preserve">analytical framework will rely on </w:t>
      </w:r>
      <w:r w:rsidR="000D365C">
        <w:t xml:space="preserve">a combination of conceptual modeling as well as simulation-based analysis of actual power systems, with real world facets and attributes. We intend to test alternatives to the current practices by leveraging the theoretical requirements of </w:t>
      </w:r>
      <w:r>
        <w:t xml:space="preserve">a two-sided market in which consumers (or their aggregators) can express time- and state-contingent willingness to pay for </w:t>
      </w:r>
      <w:r w:rsidR="000D365C">
        <w:t xml:space="preserve">electric </w:t>
      </w:r>
      <w:r>
        <w:t>reliability, and flexible loads can offer reliability services in return</w:t>
      </w:r>
      <w:r w:rsidR="007D6F9B">
        <w:t xml:space="preserve"> within the constraints of known programmatic market features (like aggregated demand response and virtual power plant aggregation) and limits of currently available technology (distributed energy resources, smart meters)</w:t>
      </w:r>
      <w:r>
        <w:t xml:space="preserve">. </w:t>
      </w:r>
      <w:r w:rsidR="007D6F9B">
        <w:t xml:space="preserve">We will show how these market </w:t>
      </w:r>
      <w:proofErr w:type="gramStart"/>
      <w:r w:rsidR="007D6F9B">
        <w:t>features</w:t>
      </w:r>
      <w:proofErr w:type="gramEnd"/>
      <w:r w:rsidR="007D6F9B">
        <w:t xml:space="preserve"> r</w:t>
      </w:r>
      <w:r>
        <w:t xml:space="preserve">ather than relying on a single administratively determined </w:t>
      </w:r>
      <w:proofErr w:type="spellStart"/>
      <w:r>
        <w:t>VoLL</w:t>
      </w:r>
      <w:proofErr w:type="spellEnd"/>
      <w:r>
        <w:t>, enables voluntary</w:t>
      </w:r>
      <w:r w:rsidR="000D365C">
        <w:t xml:space="preserve"> expression of reliability within the energy market.  Using a simulation-based approach, we compare outcomes under a uniform </w:t>
      </w:r>
      <w:proofErr w:type="spellStart"/>
      <w:r w:rsidR="000D365C">
        <w:t>VoLL</w:t>
      </w:r>
      <w:proofErr w:type="spellEnd"/>
      <w:r w:rsidR="000D365C">
        <w:t xml:space="preserve"> regime to those under a differentiated system of customer-specific expression of the reliability levels they want.</w:t>
      </w:r>
    </w:p>
    <w:p w14:paraId="69CFD4BC" w14:textId="77777777" w:rsidR="000D365C" w:rsidRDefault="000D365C"/>
    <w:p w14:paraId="08143165" w14:textId="53B9ED75" w:rsidR="000D365C" w:rsidRPr="000D365C" w:rsidRDefault="000D365C">
      <w:pPr>
        <w:rPr>
          <w:b/>
          <w:bCs/>
        </w:rPr>
      </w:pPr>
      <w:r w:rsidRPr="000D365C">
        <w:rPr>
          <w:b/>
          <w:bCs/>
        </w:rPr>
        <w:t>Findings and Recommendations</w:t>
      </w:r>
    </w:p>
    <w:p w14:paraId="3419216C" w14:textId="3DCF014B" w:rsidR="00C73598" w:rsidRDefault="00584F48">
      <w:r>
        <w:t xml:space="preserve">Although the research is ongoing, the author observes preliminary </w:t>
      </w:r>
      <w:r w:rsidR="000D365C">
        <w:t xml:space="preserve">modeling </w:t>
      </w:r>
      <w:r w:rsidR="00000000">
        <w:t>indicate</w:t>
      </w:r>
      <w:r>
        <w:t>s</w:t>
      </w:r>
      <w:r w:rsidR="00000000">
        <w:t xml:space="preserve"> that allowing differentiated reliability preferences</w:t>
      </w:r>
      <w:r w:rsidR="000D365C">
        <w:t xml:space="preserve"> to be expressed within the market</w:t>
      </w:r>
      <w:r w:rsidR="00000000">
        <w:t xml:space="preserve"> increases allocative efficiency, reduces welfare losses associated with involuntary curtailment, and enhances investment signals for flexible demand and distributed resources. Importantly, small consumers need not engage in real-time </w:t>
      </w:r>
      <w:r w:rsidR="00601D98">
        <w:t>optimization</w:t>
      </w:r>
      <w:r w:rsidR="00000000">
        <w:t>; automated aggregation and default service options can preserve simplicity while enabling participation.</w:t>
      </w:r>
      <w:r w:rsidR="000D365C">
        <w:t xml:space="preserve"> </w:t>
      </w:r>
      <w:r w:rsidR="00000000">
        <w:t>The findings suggest that moving toward consumer-centr</w:t>
      </w:r>
      <w:r w:rsidR="00000000">
        <w:t>ic, two-sided market</w:t>
      </w:r>
      <w:r w:rsidR="000D365C">
        <w:t xml:space="preserve"> design</w:t>
      </w:r>
      <w:r w:rsidR="00000000">
        <w:t xml:space="preserve"> can improve both efficiency and equity in electricity systems undergoing deep </w:t>
      </w:r>
      <w:r w:rsidR="00601D98">
        <w:t>decarbonization</w:t>
      </w:r>
      <w:r w:rsidR="00000000">
        <w:t xml:space="preserve"> and </w:t>
      </w:r>
      <w:r w:rsidR="00601D98">
        <w:t>digitalization</w:t>
      </w:r>
      <w:r w:rsidR="00000000">
        <w:t xml:space="preserve">. </w:t>
      </w:r>
    </w:p>
    <w:p w14:paraId="08177F25" w14:textId="77777777" w:rsidR="00DD5C77" w:rsidRDefault="00DD5C77"/>
    <w:p w14:paraId="1A5704C1" w14:textId="77777777" w:rsidR="00DD5C77" w:rsidRDefault="00DD5C77"/>
    <w:p w14:paraId="4323FD9B" w14:textId="77777777" w:rsidR="00C73598" w:rsidRDefault="00C73598"/>
    <w:p w14:paraId="56C50730" w14:textId="77777777" w:rsidR="00C73598" w:rsidRDefault="00000000">
      <w:r>
        <w:rPr>
          <w:b/>
        </w:rPr>
        <w:lastRenderedPageBreak/>
        <w:t>References</w:t>
      </w:r>
    </w:p>
    <w:p w14:paraId="43A3894C" w14:textId="3242A9C9" w:rsidR="00601D98" w:rsidRDefault="00601D98" w:rsidP="00601D98">
      <w:pPr>
        <w:ind w:left="720" w:hanging="720"/>
      </w:pPr>
      <w:r>
        <w:t xml:space="preserve">Agency for the Cooperation of Energy Regulators (ACER). (2020). </w:t>
      </w:r>
      <w:hyperlink r:id="rId7" w:history="1">
        <w:r w:rsidRPr="004966ED">
          <w:rPr>
            <w:rStyle w:val="Hyperlink"/>
          </w:rPr>
          <w:t>Methodology for calculating the value of lost load (</w:t>
        </w:r>
        <w:proofErr w:type="spellStart"/>
        <w:r w:rsidRPr="004966ED">
          <w:rPr>
            <w:rStyle w:val="Hyperlink"/>
          </w:rPr>
          <w:t>VoLL</w:t>
        </w:r>
        <w:proofErr w:type="spellEnd"/>
        <w:r w:rsidRPr="004966ED">
          <w:rPr>
            <w:rStyle w:val="Hyperlink"/>
          </w:rPr>
          <w:t>), the cost of new entry (CONE) and the reliability standard (RS)</w:t>
        </w:r>
      </w:hyperlink>
      <w:r>
        <w:t>.</w:t>
      </w:r>
    </w:p>
    <w:p w14:paraId="31BAD3DE" w14:textId="515C59AA" w:rsidR="00601D98" w:rsidRDefault="00601D98">
      <w:pPr>
        <w:ind w:left="720" w:hanging="720"/>
      </w:pPr>
      <w:r>
        <w:t xml:space="preserve">Argonne National </w:t>
      </w:r>
      <w:r w:rsidR="004966ED">
        <w:t>Laboratory</w:t>
      </w:r>
      <w:r>
        <w:t xml:space="preserve">. (2024). </w:t>
      </w:r>
      <w:hyperlink r:id="rId8" w:history="1">
        <w:r w:rsidRPr="004966ED">
          <w:rPr>
            <w:rStyle w:val="Hyperlink"/>
          </w:rPr>
          <w:t>Planning and Operations in Electricity Markets Under System Transformation</w:t>
        </w:r>
      </w:hyperlink>
      <w:r>
        <w:t>.</w:t>
      </w:r>
    </w:p>
    <w:p w14:paraId="5FB19B25" w14:textId="60763422" w:rsidR="00C73598" w:rsidRDefault="00000000">
      <w:pPr>
        <w:ind w:left="720" w:hanging="720"/>
      </w:pPr>
      <w:r>
        <w:t>Armstrong, M. (2006). Competition in two-sided markets. RAND Journal of Economics, 37(3), 668–691.</w:t>
      </w:r>
    </w:p>
    <w:p w14:paraId="42AEFAA3" w14:textId="637AABE2" w:rsidR="006849C3" w:rsidRPr="00E467E0" w:rsidRDefault="006849C3" w:rsidP="00601D98">
      <w:pPr>
        <w:ind w:left="720" w:hanging="720"/>
        <w:rPr>
          <w:lang w:val="es-ES"/>
        </w:rPr>
      </w:pPr>
      <w:r w:rsidRPr="006849C3">
        <w:t xml:space="preserve">Australian Energy Market Commission. (2019). What </w:t>
      </w:r>
      <w:proofErr w:type="gramStart"/>
      <w:r w:rsidRPr="006849C3">
        <w:t>next</w:t>
      </w:r>
      <w:proofErr w:type="gramEnd"/>
      <w:r w:rsidRPr="006849C3">
        <w:t xml:space="preserve"> for a two-sided energy market? </w:t>
      </w:r>
      <w:r w:rsidRPr="00E467E0">
        <w:rPr>
          <w:lang w:val="es-ES"/>
        </w:rPr>
        <w:t>The implications of venturing behind the meter.</w:t>
      </w:r>
    </w:p>
    <w:p w14:paraId="0FC5A3FC" w14:textId="19C8AD59" w:rsidR="00601D98" w:rsidRPr="00E467E0" w:rsidRDefault="00601D98" w:rsidP="00601D98">
      <w:pPr>
        <w:ind w:left="720" w:hanging="720"/>
        <w:rPr>
          <w:lang w:val="es-ES"/>
        </w:rPr>
      </w:pPr>
      <w:r w:rsidRPr="00E467E0">
        <w:rPr>
          <w:lang w:val="es-ES"/>
        </w:rPr>
        <w:t>Autoridad Nacional de los Servicios Públicos (ASEP), Panamá. (2018). Estudio del costo de la energía no suministrada (CENS)—Informe final.</w:t>
      </w:r>
    </w:p>
    <w:p w14:paraId="21C86048" w14:textId="6734E230" w:rsidR="00601D98" w:rsidRDefault="00601D98">
      <w:pPr>
        <w:ind w:left="720" w:hanging="720"/>
      </w:pPr>
      <w:r>
        <w:t xml:space="preserve">Brattle Group. (2024). </w:t>
      </w:r>
      <w:hyperlink r:id="rId9" w:history="1">
        <w:r w:rsidRPr="00601D98">
          <w:rPr>
            <w:rStyle w:val="Hyperlink"/>
          </w:rPr>
          <w:t>Value of Lost Load Study for the ERCOT Region</w:t>
        </w:r>
      </w:hyperlink>
      <w:r>
        <w:t xml:space="preserve">. </w:t>
      </w:r>
    </w:p>
    <w:p w14:paraId="5084923D" w14:textId="77777777" w:rsidR="00601D98" w:rsidRDefault="00601D98" w:rsidP="00601D98">
      <w:pPr>
        <w:ind w:left="720" w:hanging="720"/>
      </w:pPr>
      <w:r>
        <w:t>Burns, R. M., &amp; Gross, G. (1990). Value of service reliability. IEEE Transactions on Power Systems.</w:t>
      </w:r>
    </w:p>
    <w:p w14:paraId="1BB8F4FF" w14:textId="0CAEEFB4" w:rsidR="004966ED" w:rsidRDefault="004966ED" w:rsidP="00601D98">
      <w:pPr>
        <w:ind w:left="720" w:hanging="720"/>
      </w:pPr>
      <w:r w:rsidRPr="004966ED">
        <w:t>Carvallo</w:t>
      </w:r>
      <w:r>
        <w:t>, JP.</w:t>
      </w:r>
      <w:r w:rsidRPr="004966ED">
        <w:t xml:space="preserve"> Lawrence Berkeley National Laboratory</w:t>
      </w:r>
      <w:r>
        <w:t xml:space="preserve">. (2024). </w:t>
      </w:r>
      <w:hyperlink r:id="rId10" w:history="1">
        <w:r w:rsidRPr="004966ED">
          <w:rPr>
            <w:rStyle w:val="Hyperlink"/>
          </w:rPr>
          <w:t>The Value of Lost Load - Concepts, methods, and applications</w:t>
        </w:r>
      </w:hyperlink>
      <w:r>
        <w:t>.</w:t>
      </w:r>
    </w:p>
    <w:p w14:paraId="50494FC0" w14:textId="427849EE" w:rsidR="00601D98" w:rsidRPr="00E467E0" w:rsidRDefault="00601D98" w:rsidP="00601D98">
      <w:pPr>
        <w:ind w:left="720" w:hanging="720"/>
        <w:rPr>
          <w:lang w:val="es-ES"/>
        </w:rPr>
      </w:pPr>
      <w:r w:rsidRPr="00E467E0">
        <w:rPr>
          <w:lang w:val="es-ES"/>
        </w:rPr>
        <w:t>Comisión Nacional de Energía (CNE), Chile. (2025). Estudio: Costo de falla de corta y larga duración en el SEN y SSMM—Informe final.</w:t>
      </w:r>
    </w:p>
    <w:p w14:paraId="17458EB2" w14:textId="6280008E" w:rsidR="004966ED" w:rsidRDefault="004966ED">
      <w:pPr>
        <w:ind w:left="720" w:hanging="720"/>
      </w:pPr>
      <w:r>
        <w:t>Gorman, W. (2022). The quest to quantify the value of lost load: A critical review of the economics of power outages. The Electricity Journal, 35(8), 107187.</w:t>
      </w:r>
    </w:p>
    <w:p w14:paraId="02E75EAD" w14:textId="77777777" w:rsidR="004966ED" w:rsidRDefault="004966ED" w:rsidP="004966ED">
      <w:pPr>
        <w:ind w:left="720" w:hanging="720"/>
      </w:pPr>
      <w:proofErr w:type="spellStart"/>
      <w:r>
        <w:t>Joskow</w:t>
      </w:r>
      <w:proofErr w:type="spellEnd"/>
      <w:r>
        <w:t xml:space="preserve">, P. L., &amp; </w:t>
      </w:r>
      <w:proofErr w:type="spellStart"/>
      <w:r>
        <w:t>Tirole</w:t>
      </w:r>
      <w:proofErr w:type="spellEnd"/>
      <w:r>
        <w:t>, J. (2007). Reliability and competitive electricity markets. RAND Journal of Economics, 38(1), 60–84.</w:t>
      </w:r>
    </w:p>
    <w:p w14:paraId="2DAD6A2F" w14:textId="263D9B27" w:rsidR="006849C3" w:rsidRDefault="006849C3" w:rsidP="004966ED">
      <w:pPr>
        <w:ind w:left="720" w:hanging="720"/>
      </w:pPr>
      <w:proofErr w:type="spellStart"/>
      <w:r w:rsidRPr="006849C3">
        <w:t>Khorasany</w:t>
      </w:r>
      <w:proofErr w:type="spellEnd"/>
      <w:r>
        <w:t xml:space="preserve">, </w:t>
      </w:r>
      <w:r w:rsidRPr="006849C3">
        <w:t>Mohsen</w:t>
      </w:r>
      <w:r>
        <w:t xml:space="preserve"> et al. (2020). </w:t>
      </w:r>
      <w:hyperlink r:id="rId11" w:history="1">
        <w:r w:rsidRPr="006849C3">
          <w:rPr>
            <w:rStyle w:val="Hyperlink"/>
          </w:rPr>
          <w:t>Paving the Path for Two-Sided Energy Markets: An Overview of Different Approaches</w:t>
        </w:r>
      </w:hyperlink>
      <w:r>
        <w:t xml:space="preserve">. IEEE Access, Volume 8. </w:t>
      </w:r>
    </w:p>
    <w:p w14:paraId="2FE33923" w14:textId="6D5E83D4" w:rsidR="006849C3" w:rsidRDefault="006849C3" w:rsidP="006849C3">
      <w:pPr>
        <w:ind w:left="720" w:hanging="720"/>
      </w:pPr>
      <w:r>
        <w:t>Larsen, P. H., LaCommare, K. H., Eto, J., &amp; Sweeney, J. LBNL. (2015). Updated value of service reliability estimates for electric utility customers in the United States.</w:t>
      </w:r>
    </w:p>
    <w:p w14:paraId="6BEBCF58" w14:textId="5DF45E2A" w:rsidR="006849C3" w:rsidRDefault="006849C3" w:rsidP="006849C3">
      <w:pPr>
        <w:ind w:left="720" w:hanging="720"/>
      </w:pPr>
      <w:r>
        <w:t xml:space="preserve">Leahy, E., &amp; Tol, R. S. J. (2015). Value of lost load: An efficient economic indicator for power interruption costs? Frontiers in Energy Research, 3, 55. </w:t>
      </w:r>
    </w:p>
    <w:p w14:paraId="2E10E3B2" w14:textId="665840AC" w:rsidR="006849C3" w:rsidRDefault="006849C3" w:rsidP="004966ED">
      <w:pPr>
        <w:ind w:left="720" w:hanging="720"/>
      </w:pPr>
      <w:r w:rsidRPr="006849C3">
        <w:t xml:space="preserve">Littlechild, S. (2017). Two-sided markets and the utility of the future: How services and platforms can drive next-generation energy systems. </w:t>
      </w:r>
      <w:r w:rsidRPr="006849C3">
        <w:rPr>
          <w:i/>
          <w:iCs/>
        </w:rPr>
        <w:t>The Electricity Journal, 30</w:t>
      </w:r>
      <w:r w:rsidRPr="006849C3">
        <w:t>(10).</w:t>
      </w:r>
    </w:p>
    <w:p w14:paraId="46862E6F" w14:textId="0D5B7CA5" w:rsidR="00F31FCD" w:rsidRDefault="00F31FCD" w:rsidP="004966ED">
      <w:pPr>
        <w:ind w:left="720" w:hanging="720"/>
      </w:pPr>
      <w:r w:rsidRPr="00F31FCD">
        <w:t xml:space="preserve">London Economics. (2013). </w:t>
      </w:r>
      <w:hyperlink r:id="rId12" w:history="1">
        <w:r w:rsidRPr="00F31FCD">
          <w:rPr>
            <w:rStyle w:val="Hyperlink"/>
          </w:rPr>
          <w:t>The Value of Lost Load (</w:t>
        </w:r>
        <w:proofErr w:type="spellStart"/>
        <w:r w:rsidRPr="00F31FCD">
          <w:rPr>
            <w:rStyle w:val="Hyperlink"/>
          </w:rPr>
          <w:t>VoLL</w:t>
        </w:r>
        <w:proofErr w:type="spellEnd"/>
        <w:r w:rsidRPr="00F31FCD">
          <w:rPr>
            <w:rStyle w:val="Hyperlink"/>
          </w:rPr>
          <w:t>) for Electricity in Great Britain</w:t>
        </w:r>
      </w:hyperlink>
      <w:r w:rsidRPr="00F31FCD">
        <w:t>.</w:t>
      </w:r>
    </w:p>
    <w:p w14:paraId="0127B6F8" w14:textId="2A3175EF" w:rsidR="004966ED" w:rsidRDefault="004966ED" w:rsidP="004966ED">
      <w:pPr>
        <w:ind w:left="720" w:hanging="720"/>
      </w:pPr>
      <w:r>
        <w:t xml:space="preserve">Midcontinent Independent System Operator (MISO). (2024). </w:t>
      </w:r>
      <w:hyperlink r:id="rId13" w:history="1">
        <w:r w:rsidRPr="004966ED">
          <w:rPr>
            <w:rStyle w:val="Hyperlink"/>
          </w:rPr>
          <w:t>Scarcity pricing white paper: Value of lost load and operating reserve demand curve</w:t>
        </w:r>
      </w:hyperlink>
      <w:r>
        <w:t>.</w:t>
      </w:r>
    </w:p>
    <w:p w14:paraId="160FD884" w14:textId="71FD0BE7" w:rsidR="00C73598" w:rsidRDefault="00000000">
      <w:pPr>
        <w:ind w:left="720" w:hanging="720"/>
      </w:pPr>
      <w:r w:rsidRPr="00E467E0">
        <w:rPr>
          <w:lang w:val="fr-FR"/>
        </w:rPr>
        <w:t xml:space="preserve">Rochet, J.-C., &amp; Tirole, J. (2003). </w:t>
      </w:r>
      <w:r>
        <w:t>Platform competition in two-sided markets. Journal of the European Economic Association, 1(4), 990–1029.</w:t>
      </w:r>
    </w:p>
    <w:p w14:paraId="78F2002A" w14:textId="77777777" w:rsidR="00C73598" w:rsidRDefault="00000000">
      <w:pPr>
        <w:ind w:left="720" w:hanging="720"/>
      </w:pPr>
      <w:r>
        <w:t>Weyl, E. G. (2010). A price theory of multi-sided platforms. American Economic Review, 100(4), 1642–1672.</w:t>
      </w:r>
    </w:p>
    <w:p w14:paraId="2E3CA7C3" w14:textId="77777777" w:rsidR="00646917" w:rsidRDefault="00646917" w:rsidP="00646917">
      <w:pPr>
        <w:ind w:left="720" w:hanging="720"/>
      </w:pPr>
      <w:r w:rsidRPr="00646917">
        <w:t>Zhou,</w:t>
      </w:r>
      <w:r>
        <w:t xml:space="preserve"> Ella, </w:t>
      </w:r>
      <w:r w:rsidRPr="00646917">
        <w:t>Sika Gadzanku, Cabell Hodge, Mike Campton</w:t>
      </w:r>
      <w:r>
        <w:t xml:space="preserve"> et al. NREL. (2023). </w:t>
      </w:r>
      <w:hyperlink r:id="rId14" w:history="1">
        <w:r w:rsidRPr="00646917">
          <w:rPr>
            <w:rStyle w:val="Hyperlink"/>
          </w:rPr>
          <w:t>Best Practices in Electricity Load Modeling and Forecasting for Long-Term Power System Planning</w:t>
        </w:r>
      </w:hyperlink>
      <w:r>
        <w:t>.</w:t>
      </w:r>
    </w:p>
    <w:p w14:paraId="3306FDA0" w14:textId="77777777" w:rsidR="00646917" w:rsidRDefault="00646917">
      <w:pPr>
        <w:ind w:left="720" w:hanging="720"/>
      </w:pPr>
    </w:p>
    <w:sectPr w:rsidR="0064691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665231">
    <w:abstractNumId w:val="8"/>
  </w:num>
  <w:num w:numId="2" w16cid:durableId="1660424574">
    <w:abstractNumId w:val="6"/>
  </w:num>
  <w:num w:numId="3" w16cid:durableId="174223982">
    <w:abstractNumId w:val="5"/>
  </w:num>
  <w:num w:numId="4" w16cid:durableId="482311712">
    <w:abstractNumId w:val="4"/>
  </w:num>
  <w:num w:numId="5" w16cid:durableId="558056263">
    <w:abstractNumId w:val="7"/>
  </w:num>
  <w:num w:numId="6" w16cid:durableId="2130733199">
    <w:abstractNumId w:val="3"/>
  </w:num>
  <w:num w:numId="7" w16cid:durableId="1656031770">
    <w:abstractNumId w:val="2"/>
  </w:num>
  <w:num w:numId="8" w16cid:durableId="148599126">
    <w:abstractNumId w:val="1"/>
  </w:num>
  <w:num w:numId="9" w16cid:durableId="7766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65C"/>
    <w:rsid w:val="0015074B"/>
    <w:rsid w:val="0029639D"/>
    <w:rsid w:val="00326F90"/>
    <w:rsid w:val="00455D1A"/>
    <w:rsid w:val="004966ED"/>
    <w:rsid w:val="00584F48"/>
    <w:rsid w:val="00601D98"/>
    <w:rsid w:val="00646917"/>
    <w:rsid w:val="006849C3"/>
    <w:rsid w:val="006C4948"/>
    <w:rsid w:val="006C5C58"/>
    <w:rsid w:val="007A4887"/>
    <w:rsid w:val="007D6F9B"/>
    <w:rsid w:val="00952D0D"/>
    <w:rsid w:val="009D3EED"/>
    <w:rsid w:val="00AA1D8D"/>
    <w:rsid w:val="00B47730"/>
    <w:rsid w:val="00C02F5B"/>
    <w:rsid w:val="00C309C7"/>
    <w:rsid w:val="00C73598"/>
    <w:rsid w:val="00CB0664"/>
    <w:rsid w:val="00DD5C77"/>
    <w:rsid w:val="00E467E0"/>
    <w:rsid w:val="00F31F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05052"/>
  <w14:defaultImageDpi w14:val="300"/>
  <w15:docId w15:val="{A8078104-DE8B-4753-A2E3-842A127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C309C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6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F9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9B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anl.gov/anlpubs/2024/08/190452.pdf" TargetMode="External"/><Relationship Id="rId13" Type="http://schemas.openxmlformats.org/officeDocument/2006/relationships/hyperlink" Target="https://cdn.misoenergy.org/20240418%20MSC%20Item%2004d%20Scarcity%20Pricing%20White%20Paper%20VOLL%20and%20ORDC63235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cer.europa.eu/sites/default/files/documents/Decisions_annex/ACER%20Decision%2023-2020%20on%20VOLL%20CONE%20RS%20-%20Annex%20I.pdf" TargetMode="External"/><Relationship Id="rId12" Type="http://schemas.openxmlformats.org/officeDocument/2006/relationships/hyperlink" Target="https://www.ofgem.gov.uk/sites/default/files/docs/2013/07/london-economics-value-of-lost-load-for-electricity-in-gb_0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ulia@londoneconomics.com" TargetMode="External"/><Relationship Id="rId11" Type="http://schemas.openxmlformats.org/officeDocument/2006/relationships/hyperlink" Target="https://researchmgt.monash.edu/ws/portalfiles/portal/330626381/327257144_o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dn.misoenergy.org/20240927%20ERSC%20WG%20Item%2003%20The%20Value%20of%20Lost%20Load6495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change.puc.texas.gov/Documents/55837_12_1421762.PDF" TargetMode="External"/><Relationship Id="rId14" Type="http://schemas.openxmlformats.org/officeDocument/2006/relationships/hyperlink" Target="https://docs.nrel.gov/docs/fy23osti/818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5794</Characters>
  <Application>Microsoft Office Word</Application>
  <DocSecurity>0</DocSecurity>
  <Lines>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Molly Jane Spencer</cp:lastModifiedBy>
  <cp:revision>2</cp:revision>
  <dcterms:created xsi:type="dcterms:W3CDTF">2026-02-20T20:24:00Z</dcterms:created>
  <dcterms:modified xsi:type="dcterms:W3CDTF">2026-02-20T20:24:00Z</dcterms:modified>
  <cp:category/>
</cp:coreProperties>
</file>